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921" w:rsidRDefault="00F91921" w:rsidP="00F9192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Verdana" w:hAnsi="Verdana"/>
          <w:b/>
          <w:color w:val="000000"/>
          <w:sz w:val="28"/>
          <w:szCs w:val="18"/>
        </w:rPr>
      </w:pPr>
      <w:r w:rsidRPr="00954C80">
        <w:rPr>
          <w:rFonts w:ascii="Verdana" w:hAnsi="Verdana"/>
          <w:b/>
          <w:color w:val="000000"/>
          <w:sz w:val="28"/>
          <w:szCs w:val="18"/>
        </w:rPr>
        <w:t xml:space="preserve">BIJLAGE </w:t>
      </w:r>
      <w:r>
        <w:rPr>
          <w:rFonts w:ascii="Verdana" w:hAnsi="Verdana"/>
          <w:b/>
          <w:color w:val="000000"/>
          <w:sz w:val="28"/>
          <w:szCs w:val="18"/>
        </w:rPr>
        <w:t>II</w:t>
      </w:r>
    </w:p>
    <w:p w:rsidR="004E0B78" w:rsidRDefault="004E0B78" w:rsidP="00F9192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Verdana" w:hAnsi="Verdana"/>
          <w:b/>
          <w:color w:val="000000"/>
          <w:sz w:val="28"/>
          <w:szCs w:val="18"/>
        </w:rPr>
      </w:pPr>
    </w:p>
    <w:p w:rsidR="00F91921" w:rsidRDefault="00F91921" w:rsidP="00F9192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Verdana" w:hAnsi="Verdana"/>
          <w:b/>
          <w:color w:val="000000"/>
          <w:sz w:val="28"/>
          <w:szCs w:val="18"/>
        </w:rPr>
      </w:pPr>
      <w:r>
        <w:rPr>
          <w:rFonts w:ascii="Verdana" w:hAnsi="Verdana"/>
          <w:b/>
          <w:color w:val="000000"/>
          <w:sz w:val="28"/>
          <w:szCs w:val="18"/>
        </w:rPr>
        <w:t xml:space="preserve">De ‘aanpassingen’ van </w:t>
      </w:r>
      <w:r>
        <w:rPr>
          <w:rFonts w:ascii="Verdana" w:hAnsi="Verdana"/>
          <w:b/>
          <w:color w:val="000000"/>
          <w:sz w:val="28"/>
          <w:szCs w:val="18"/>
        </w:rPr>
        <w:t xml:space="preserve">het </w:t>
      </w:r>
      <w:r>
        <w:rPr>
          <w:rFonts w:ascii="Verdana" w:hAnsi="Verdana"/>
          <w:b/>
          <w:color w:val="000000"/>
          <w:sz w:val="28"/>
          <w:szCs w:val="18"/>
        </w:rPr>
        <w:t xml:space="preserve">artikel over </w:t>
      </w:r>
      <w:proofErr w:type="spellStart"/>
      <w:r>
        <w:rPr>
          <w:rFonts w:ascii="Verdana" w:hAnsi="Verdana"/>
          <w:b/>
          <w:color w:val="000000"/>
          <w:sz w:val="28"/>
          <w:szCs w:val="18"/>
        </w:rPr>
        <w:t>SamenStarten</w:t>
      </w:r>
      <w:proofErr w:type="spellEnd"/>
    </w:p>
    <w:p w:rsidR="005B111C" w:rsidRDefault="005B111C" w:rsidP="00F9192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Verdana" w:hAnsi="Verdana"/>
          <w:b/>
          <w:color w:val="000000"/>
          <w:sz w:val="28"/>
          <w:szCs w:val="18"/>
        </w:rPr>
      </w:pPr>
      <w:bookmarkStart w:id="0" w:name="_GoBack"/>
      <w:bookmarkEnd w:id="0"/>
    </w:p>
    <w:tbl>
      <w:tblPr>
        <w:tblStyle w:val="Tabelraster"/>
        <w:tblW w:w="5000" w:type="pct"/>
        <w:tblLook w:val="04A0" w:firstRow="1" w:lastRow="0" w:firstColumn="1" w:lastColumn="0" w:noHBand="0" w:noVBand="1"/>
      </w:tblPr>
      <w:tblGrid>
        <w:gridCol w:w="4328"/>
        <w:gridCol w:w="4328"/>
      </w:tblGrid>
      <w:tr w:rsidR="00F91921" w:rsidRPr="00EF1C81" w:rsidTr="00FE1548">
        <w:tc>
          <w:tcPr>
            <w:tcW w:w="2500" w:type="pct"/>
          </w:tcPr>
          <w:p w:rsidR="00283ABC" w:rsidRPr="00283ABC" w:rsidRDefault="00283ABC" w:rsidP="006B2CA8">
            <w:pPr>
              <w:spacing w:line="240" w:lineRule="exact"/>
              <w:rPr>
                <w:rFonts w:eastAsia="Times New Roman" w:cs="Times New Roman"/>
                <w:sz w:val="16"/>
                <w:szCs w:val="16"/>
                <w:lang w:val="en-GB" w:eastAsia="nl-NL"/>
              </w:rPr>
            </w:pPr>
            <w:hyperlink r:id="rId5" w:history="1">
              <w:proofErr w:type="spellStart"/>
              <w:r w:rsidRPr="00283ABC">
                <w:rPr>
                  <w:rFonts w:eastAsia="Times New Roman" w:cs="Times New Roman"/>
                  <w:color w:val="0000FF"/>
                  <w:sz w:val="16"/>
                  <w:szCs w:val="16"/>
                  <w:u w:val="single"/>
                  <w:lang w:val="en-GB" w:eastAsia="nl-NL"/>
                </w:rPr>
                <w:t>PLoS</w:t>
              </w:r>
              <w:proofErr w:type="spellEnd"/>
              <w:r w:rsidRPr="00283ABC">
                <w:rPr>
                  <w:rFonts w:eastAsia="Times New Roman" w:cs="Times New Roman"/>
                  <w:color w:val="0000FF"/>
                  <w:sz w:val="16"/>
                  <w:szCs w:val="16"/>
                  <w:u w:val="single"/>
                  <w:lang w:val="en-GB" w:eastAsia="nl-NL"/>
                </w:rPr>
                <w:t xml:space="preserve"> One</w:t>
              </w:r>
            </w:hyperlink>
            <w:r w:rsidRPr="00283ABC">
              <w:rPr>
                <w:rFonts w:eastAsia="Times New Roman" w:cs="Times New Roman"/>
                <w:sz w:val="16"/>
                <w:szCs w:val="16"/>
                <w:lang w:val="en-GB" w:eastAsia="nl-NL"/>
              </w:rPr>
              <w:t xml:space="preserve">. 2017; 12(12): </w:t>
            </w:r>
            <w:proofErr w:type="spellStart"/>
            <w:r w:rsidRPr="00283ABC">
              <w:rPr>
                <w:rFonts w:eastAsia="Times New Roman" w:cs="Times New Roman"/>
                <w:sz w:val="16"/>
                <w:szCs w:val="16"/>
                <w:lang w:val="en-GB" w:eastAsia="nl-NL"/>
              </w:rPr>
              <w:t>e0187750</w:t>
            </w:r>
            <w:proofErr w:type="spellEnd"/>
            <w:r w:rsidRPr="00283ABC">
              <w:rPr>
                <w:rFonts w:eastAsia="Times New Roman" w:cs="Times New Roman"/>
                <w:sz w:val="16"/>
                <w:szCs w:val="16"/>
                <w:lang w:val="en-GB" w:eastAsia="nl-NL"/>
              </w:rPr>
              <w:t xml:space="preserve">. </w:t>
            </w:r>
          </w:p>
          <w:p w:rsidR="00126A4B" w:rsidRDefault="00283ABC" w:rsidP="006B2CA8">
            <w:pPr>
              <w:spacing w:line="240" w:lineRule="exact"/>
              <w:rPr>
                <w:rFonts w:eastAsia="Times New Roman" w:cs="Times New Roman"/>
                <w:sz w:val="16"/>
                <w:szCs w:val="16"/>
                <w:lang w:val="en-GB" w:eastAsia="nl-NL"/>
              </w:rPr>
            </w:pPr>
            <w:r w:rsidRPr="00283ABC">
              <w:rPr>
                <w:rFonts w:eastAsia="Times New Roman" w:cs="Times New Roman"/>
                <w:sz w:val="16"/>
                <w:szCs w:val="16"/>
                <w:lang w:val="en-GB" w:eastAsia="nl-NL"/>
              </w:rPr>
              <w:t xml:space="preserve">Published online 2017 Dec 21. </w:t>
            </w:r>
          </w:p>
          <w:p w:rsidR="00283ABC" w:rsidRPr="00283ABC" w:rsidRDefault="00283ABC" w:rsidP="006B2CA8">
            <w:pPr>
              <w:spacing w:line="240" w:lineRule="exact"/>
              <w:rPr>
                <w:rFonts w:eastAsia="Times New Roman" w:cs="Times New Roman"/>
                <w:b/>
                <w:bCs/>
                <w:kern w:val="36"/>
                <w:sz w:val="16"/>
                <w:szCs w:val="16"/>
                <w:lang w:val="en-GB" w:eastAsia="nl-NL"/>
              </w:rPr>
            </w:pPr>
            <w:r w:rsidRPr="00283ABC">
              <w:rPr>
                <w:rFonts w:eastAsia="Times New Roman" w:cs="Times New Roman"/>
                <w:b/>
                <w:bCs/>
                <w:kern w:val="36"/>
                <w:sz w:val="16"/>
                <w:szCs w:val="16"/>
                <w:lang w:val="en-GB" w:eastAsia="nl-NL"/>
              </w:rPr>
              <w:t>The added value of a family-</w:t>
            </w:r>
            <w:proofErr w:type="spellStart"/>
            <w:r w:rsidRPr="00283ABC">
              <w:rPr>
                <w:rFonts w:eastAsia="Times New Roman" w:cs="Times New Roman"/>
                <w:b/>
                <w:bCs/>
                <w:kern w:val="36"/>
                <w:sz w:val="16"/>
                <w:szCs w:val="16"/>
                <w:lang w:val="en-GB" w:eastAsia="nl-NL"/>
              </w:rPr>
              <w:t>centered</w:t>
            </w:r>
            <w:proofErr w:type="spellEnd"/>
            <w:r w:rsidRPr="00283ABC">
              <w:rPr>
                <w:rFonts w:eastAsia="Times New Roman" w:cs="Times New Roman"/>
                <w:b/>
                <w:bCs/>
                <w:kern w:val="36"/>
                <w:sz w:val="16"/>
                <w:szCs w:val="16"/>
                <w:lang w:val="en-GB" w:eastAsia="nl-NL"/>
              </w:rPr>
              <w:t xml:space="preserve"> approach to optimize infants’ social-emotional development: A quasi-experimental study</w:t>
            </w:r>
          </w:p>
          <w:p w:rsidR="00283ABC" w:rsidRPr="00283ABC" w:rsidRDefault="00283ABC" w:rsidP="006B2CA8">
            <w:pPr>
              <w:spacing w:line="240" w:lineRule="exact"/>
              <w:rPr>
                <w:rFonts w:eastAsia="Times New Roman" w:cs="Times New Roman"/>
                <w:sz w:val="16"/>
                <w:szCs w:val="16"/>
                <w:lang w:val="en-GB" w:eastAsia="nl-NL"/>
              </w:rPr>
            </w:pPr>
            <w:hyperlink r:id="rId6" w:history="1">
              <w:proofErr w:type="spellStart"/>
              <w:r w:rsidRPr="00283ABC">
                <w:rPr>
                  <w:rFonts w:eastAsia="Times New Roman" w:cs="Times New Roman"/>
                  <w:color w:val="0000FF"/>
                  <w:sz w:val="16"/>
                  <w:szCs w:val="16"/>
                  <w:u w:val="single"/>
                  <w:lang w:val="en-GB" w:eastAsia="nl-NL"/>
                </w:rPr>
                <w:t>Sijmen</w:t>
              </w:r>
              <w:proofErr w:type="spellEnd"/>
              <w:r w:rsidRPr="00283ABC">
                <w:rPr>
                  <w:rFonts w:eastAsia="Times New Roman" w:cs="Times New Roman"/>
                  <w:color w:val="0000FF"/>
                  <w:sz w:val="16"/>
                  <w:szCs w:val="16"/>
                  <w:u w:val="single"/>
                  <w:lang w:val="en-GB" w:eastAsia="nl-NL"/>
                </w:rPr>
                <w:t xml:space="preserve"> A. Reijneveld</w:t>
              </w:r>
            </w:hyperlink>
            <w:r w:rsidRPr="00283ABC">
              <w:rPr>
                <w:rFonts w:eastAsia="Times New Roman" w:cs="Times New Roman"/>
                <w:sz w:val="16"/>
                <w:szCs w:val="16"/>
                <w:lang w:val="en-GB" w:eastAsia="nl-NL"/>
              </w:rPr>
              <w:t>, Conceptualization, Data curation, Methodology, Project administration, Resources, Supervision, Writing – original draft, Writing – review &amp; editing,</w:t>
            </w:r>
            <w:r w:rsidRPr="00283ABC">
              <w:rPr>
                <w:rFonts w:eastAsia="Times New Roman" w:cs="Times New Roman"/>
                <w:sz w:val="16"/>
                <w:szCs w:val="16"/>
                <w:vertAlign w:val="superscript"/>
                <w:lang w:val="en-GB" w:eastAsia="nl-NL"/>
              </w:rPr>
              <w:t>*</w:t>
            </w:r>
            <w:r w:rsidRPr="00283ABC">
              <w:rPr>
                <w:rFonts w:eastAsia="Times New Roman" w:cs="Times New Roman"/>
                <w:sz w:val="16"/>
                <w:szCs w:val="16"/>
                <w:lang w:val="en-GB" w:eastAsia="nl-NL"/>
              </w:rPr>
              <w:t xml:space="preserve"> </w:t>
            </w:r>
            <w:hyperlink r:id="rId7" w:history="1">
              <w:proofErr w:type="spellStart"/>
              <w:r w:rsidRPr="00283ABC">
                <w:rPr>
                  <w:rFonts w:eastAsia="Times New Roman" w:cs="Times New Roman"/>
                  <w:color w:val="0000FF"/>
                  <w:sz w:val="16"/>
                  <w:szCs w:val="16"/>
                  <w:u w:val="single"/>
                  <w:lang w:val="en-GB" w:eastAsia="nl-NL"/>
                </w:rPr>
                <w:t>Margriet</w:t>
              </w:r>
              <w:proofErr w:type="spellEnd"/>
              <w:r w:rsidRPr="00283ABC">
                <w:rPr>
                  <w:rFonts w:eastAsia="Times New Roman" w:cs="Times New Roman"/>
                  <w:color w:val="0000FF"/>
                  <w:sz w:val="16"/>
                  <w:szCs w:val="16"/>
                  <w:u w:val="single"/>
                  <w:lang w:val="en-GB" w:eastAsia="nl-NL"/>
                </w:rPr>
                <w:t xml:space="preserve"> </w:t>
              </w:r>
              <w:proofErr w:type="spellStart"/>
              <w:r w:rsidRPr="00283ABC">
                <w:rPr>
                  <w:rFonts w:eastAsia="Times New Roman" w:cs="Times New Roman"/>
                  <w:color w:val="0000FF"/>
                  <w:sz w:val="16"/>
                  <w:szCs w:val="16"/>
                  <w:u w:val="single"/>
                  <w:lang w:val="en-GB" w:eastAsia="nl-NL"/>
                </w:rPr>
                <w:t>Hielkema</w:t>
              </w:r>
              <w:proofErr w:type="spellEnd"/>
            </w:hyperlink>
            <w:r w:rsidRPr="00283ABC">
              <w:rPr>
                <w:rFonts w:eastAsia="Times New Roman" w:cs="Times New Roman"/>
                <w:sz w:val="16"/>
                <w:szCs w:val="16"/>
                <w:lang w:val="en-GB" w:eastAsia="nl-NL"/>
              </w:rPr>
              <w:t xml:space="preserve">, Formal analysis, Investigation, Visualization, Writing – original draft, Writing – review &amp; editing, </w:t>
            </w:r>
            <w:hyperlink r:id="rId8" w:history="1">
              <w:r w:rsidRPr="00283ABC">
                <w:rPr>
                  <w:rFonts w:eastAsia="Times New Roman" w:cs="Times New Roman"/>
                  <w:color w:val="0000FF"/>
                  <w:sz w:val="16"/>
                  <w:szCs w:val="16"/>
                  <w:u w:val="single"/>
                  <w:lang w:val="en-GB" w:eastAsia="nl-NL"/>
                </w:rPr>
                <w:t>Roy E. Stewart</w:t>
              </w:r>
            </w:hyperlink>
            <w:r w:rsidRPr="00283ABC">
              <w:rPr>
                <w:rFonts w:eastAsia="Times New Roman" w:cs="Times New Roman"/>
                <w:sz w:val="16"/>
                <w:szCs w:val="16"/>
                <w:lang w:val="en-GB" w:eastAsia="nl-NL"/>
              </w:rPr>
              <w:t xml:space="preserve">, Data curation, Formal analysis, Writing – review &amp; editing, and </w:t>
            </w:r>
            <w:hyperlink r:id="rId9" w:history="1">
              <w:r w:rsidRPr="00283ABC">
                <w:rPr>
                  <w:rFonts w:eastAsia="Times New Roman" w:cs="Times New Roman"/>
                  <w:color w:val="0000FF"/>
                  <w:sz w:val="16"/>
                  <w:szCs w:val="16"/>
                  <w:u w:val="single"/>
                  <w:lang w:val="en-GB" w:eastAsia="nl-NL"/>
                </w:rPr>
                <w:t>Andrea F. de Winter</w:t>
              </w:r>
            </w:hyperlink>
            <w:r w:rsidRPr="00283ABC">
              <w:rPr>
                <w:rFonts w:eastAsia="Times New Roman" w:cs="Times New Roman"/>
                <w:sz w:val="16"/>
                <w:szCs w:val="16"/>
                <w:lang w:val="en-GB" w:eastAsia="nl-NL"/>
              </w:rPr>
              <w:t>, Conceptualization, Investigation, Project administration, Supervision, Writing – review &amp; editing</w:t>
            </w:r>
          </w:p>
          <w:p w:rsidR="00126A4B" w:rsidRDefault="00283ABC" w:rsidP="006B2CA8">
            <w:pPr>
              <w:spacing w:line="240" w:lineRule="exact"/>
              <w:rPr>
                <w:rFonts w:ascii="Times New Roman" w:eastAsia="Times New Roman" w:hAnsi="Times New Roman" w:cs="Times New Roman"/>
                <w:sz w:val="24"/>
                <w:szCs w:val="24"/>
                <w:lang w:val="en-GB" w:eastAsia="nl-NL"/>
              </w:rPr>
            </w:pPr>
            <w:r w:rsidRPr="00283ABC">
              <w:rPr>
                <w:rFonts w:eastAsia="Times New Roman" w:cs="Times New Roman"/>
                <w:sz w:val="16"/>
                <w:szCs w:val="16"/>
                <w:lang w:val="en-GB" w:eastAsia="nl-NL"/>
              </w:rPr>
              <w:t xml:space="preserve">Andrea </w:t>
            </w:r>
            <w:proofErr w:type="spellStart"/>
            <w:r w:rsidRPr="00283ABC">
              <w:rPr>
                <w:rFonts w:eastAsia="Times New Roman" w:cs="Times New Roman"/>
                <w:sz w:val="16"/>
                <w:szCs w:val="16"/>
                <w:lang w:val="en-GB" w:eastAsia="nl-NL"/>
              </w:rPr>
              <w:t>Martinuzzi</w:t>
            </w:r>
            <w:proofErr w:type="spellEnd"/>
            <w:r w:rsidRPr="00283ABC">
              <w:rPr>
                <w:rFonts w:eastAsia="Times New Roman" w:cs="Times New Roman"/>
                <w:sz w:val="16"/>
                <w:szCs w:val="16"/>
                <w:lang w:val="en-GB" w:eastAsia="nl-NL"/>
              </w:rPr>
              <w:t>, Edito</w:t>
            </w:r>
            <w:r w:rsidRPr="00BD5BF7">
              <w:rPr>
                <w:rFonts w:ascii="Times New Roman" w:eastAsia="Times New Roman" w:hAnsi="Times New Roman" w:cs="Times New Roman"/>
                <w:sz w:val="24"/>
                <w:szCs w:val="24"/>
                <w:lang w:val="en-GB" w:eastAsia="nl-NL"/>
              </w:rPr>
              <w:t>r</w:t>
            </w:r>
          </w:p>
          <w:p w:rsidR="00E95F9F" w:rsidRPr="00126A4B" w:rsidRDefault="00E95F9F" w:rsidP="006B2CA8">
            <w:pPr>
              <w:spacing w:line="240" w:lineRule="exact"/>
              <w:rPr>
                <w:rFonts w:ascii="Times New Roman" w:eastAsia="Times New Roman" w:hAnsi="Times New Roman" w:cs="Times New Roman"/>
                <w:sz w:val="24"/>
                <w:szCs w:val="24"/>
                <w:lang w:val="en-GB" w:eastAsia="nl-NL"/>
              </w:rPr>
            </w:pPr>
          </w:p>
          <w:p w:rsidR="00F91921" w:rsidRPr="00F91921" w:rsidRDefault="00F91921" w:rsidP="006B2CA8">
            <w:pPr>
              <w:spacing w:line="240" w:lineRule="exact"/>
              <w:rPr>
                <w:b/>
                <w:szCs w:val="18"/>
              </w:rPr>
            </w:pPr>
            <w:r w:rsidRPr="00F91921">
              <w:rPr>
                <w:b/>
                <w:szCs w:val="18"/>
              </w:rPr>
              <w:t xml:space="preserve">Artikel Menno Reijneveld o.b.v. Hoofstuk 3 proefschrift </w:t>
            </w:r>
            <w:proofErr w:type="spellStart"/>
            <w:r w:rsidRPr="00F91921">
              <w:rPr>
                <w:b/>
                <w:szCs w:val="18"/>
              </w:rPr>
              <w:t>Hielkema</w:t>
            </w:r>
            <w:proofErr w:type="spellEnd"/>
            <w:r w:rsidRPr="00F91921">
              <w:rPr>
                <w:b/>
                <w:szCs w:val="18"/>
              </w:rPr>
              <w:t>: aangepaste delen</w:t>
            </w:r>
          </w:p>
        </w:tc>
        <w:tc>
          <w:tcPr>
            <w:tcW w:w="2500" w:type="pct"/>
          </w:tcPr>
          <w:p w:rsidR="00126A4B" w:rsidRPr="00E95F9F" w:rsidRDefault="00126A4B" w:rsidP="006B2CA8">
            <w:pPr>
              <w:autoSpaceDE w:val="0"/>
              <w:autoSpaceDN w:val="0"/>
              <w:adjustRightInd w:val="0"/>
              <w:snapToGrid w:val="0"/>
              <w:spacing w:line="240" w:lineRule="exact"/>
              <w:rPr>
                <w:rFonts w:eastAsia="Times New Roman" w:cs="Calibri"/>
                <w:color w:val="000000"/>
                <w:szCs w:val="18"/>
              </w:rPr>
            </w:pPr>
            <w:proofErr w:type="spellStart"/>
            <w:r w:rsidRPr="00E95F9F">
              <w:rPr>
                <w:rFonts w:eastAsia="Times New Roman" w:cs="Calibri"/>
                <w:color w:val="000000"/>
                <w:szCs w:val="18"/>
              </w:rPr>
              <w:t>Hielkema</w:t>
            </w:r>
            <w:proofErr w:type="spellEnd"/>
            <w:r w:rsidRPr="00E95F9F">
              <w:rPr>
                <w:rFonts w:eastAsia="Times New Roman" w:cs="Calibri"/>
                <w:color w:val="000000"/>
                <w:szCs w:val="18"/>
              </w:rPr>
              <w:t xml:space="preserve"> </w:t>
            </w:r>
            <w:r w:rsidR="00E95F9F">
              <w:rPr>
                <w:rFonts w:eastAsia="Times New Roman" w:cs="Calibri"/>
                <w:color w:val="000000"/>
                <w:szCs w:val="18"/>
              </w:rPr>
              <w:t xml:space="preserve">proefschrift </w:t>
            </w:r>
            <w:r w:rsidRPr="00E95F9F">
              <w:rPr>
                <w:rFonts w:eastAsia="Times New Roman" w:cs="Calibri"/>
                <w:color w:val="000000"/>
                <w:szCs w:val="18"/>
              </w:rPr>
              <w:t>2011</w:t>
            </w:r>
            <w:r w:rsidR="00E95F9F" w:rsidRPr="00E95F9F">
              <w:rPr>
                <w:rFonts w:eastAsia="Times New Roman" w:cs="Calibri"/>
                <w:color w:val="000000"/>
                <w:szCs w:val="18"/>
              </w:rPr>
              <w:t xml:space="preserve"> pp. 46-60</w:t>
            </w:r>
          </w:p>
          <w:p w:rsidR="00E95F9F" w:rsidRDefault="00E95F9F" w:rsidP="006B2CA8">
            <w:pPr>
              <w:autoSpaceDE w:val="0"/>
              <w:autoSpaceDN w:val="0"/>
              <w:adjustRightInd w:val="0"/>
              <w:snapToGrid w:val="0"/>
              <w:spacing w:line="240" w:lineRule="exact"/>
              <w:rPr>
                <w:rFonts w:eastAsia="Times New Roman" w:cs="Calibri"/>
                <w:b/>
                <w:color w:val="000000"/>
                <w:szCs w:val="18"/>
                <w:lang w:val="x-none"/>
              </w:rPr>
            </w:pPr>
          </w:p>
          <w:p w:rsidR="004C621F" w:rsidRPr="004C621F" w:rsidRDefault="004C621F" w:rsidP="006B2CA8">
            <w:pPr>
              <w:autoSpaceDE w:val="0"/>
              <w:autoSpaceDN w:val="0"/>
              <w:adjustRightInd w:val="0"/>
              <w:snapToGrid w:val="0"/>
              <w:spacing w:line="240" w:lineRule="exact"/>
              <w:rPr>
                <w:rFonts w:eastAsia="Times New Roman" w:cs="Calibri"/>
                <w:b/>
                <w:color w:val="000000"/>
                <w:szCs w:val="18"/>
                <w:lang w:val="x-none"/>
              </w:rPr>
            </w:pPr>
            <w:r w:rsidRPr="004C621F">
              <w:rPr>
                <w:rFonts w:eastAsia="Times New Roman" w:cs="Calibri"/>
                <w:b/>
                <w:color w:val="000000"/>
                <w:szCs w:val="18"/>
                <w:lang w:val="x-none"/>
              </w:rPr>
              <w:t xml:space="preserve">The </w:t>
            </w:r>
            <w:proofErr w:type="spellStart"/>
            <w:r w:rsidRPr="004C621F">
              <w:rPr>
                <w:rFonts w:eastAsia="Times New Roman" w:cs="Calibri"/>
                <w:b/>
                <w:color w:val="000000"/>
                <w:szCs w:val="18"/>
                <w:lang w:val="x-none"/>
              </w:rPr>
              <w:t>added</w:t>
            </w:r>
            <w:proofErr w:type="spellEnd"/>
            <w:r w:rsidRPr="004C621F">
              <w:rPr>
                <w:rFonts w:eastAsia="Times New Roman" w:cs="Calibri"/>
                <w:b/>
                <w:color w:val="000000"/>
                <w:szCs w:val="18"/>
                <w:lang w:val="x-none"/>
              </w:rPr>
              <w:t xml:space="preserve"> </w:t>
            </w:r>
            <w:proofErr w:type="spellStart"/>
            <w:r w:rsidRPr="004C621F">
              <w:rPr>
                <w:rFonts w:eastAsia="Times New Roman" w:cs="Calibri"/>
                <w:b/>
                <w:color w:val="000000"/>
                <w:szCs w:val="18"/>
                <w:lang w:val="x-none"/>
              </w:rPr>
              <w:t>value</w:t>
            </w:r>
            <w:proofErr w:type="spellEnd"/>
            <w:r w:rsidRPr="004C621F">
              <w:rPr>
                <w:rFonts w:eastAsia="Times New Roman" w:cs="Calibri"/>
                <w:b/>
                <w:color w:val="000000"/>
                <w:szCs w:val="18"/>
                <w:lang w:val="x-none"/>
              </w:rPr>
              <w:t xml:space="preserve"> of a family-</w:t>
            </w:r>
            <w:proofErr w:type="spellStart"/>
            <w:r w:rsidRPr="004C621F">
              <w:rPr>
                <w:rFonts w:eastAsia="Times New Roman" w:cs="Calibri"/>
                <w:b/>
                <w:color w:val="000000"/>
                <w:szCs w:val="18"/>
                <w:lang w:val="x-none"/>
              </w:rPr>
              <w:t>centered</w:t>
            </w:r>
            <w:proofErr w:type="spellEnd"/>
          </w:p>
          <w:p w:rsidR="004C621F" w:rsidRPr="004C621F" w:rsidRDefault="004C621F" w:rsidP="006B2CA8">
            <w:pPr>
              <w:autoSpaceDE w:val="0"/>
              <w:autoSpaceDN w:val="0"/>
              <w:adjustRightInd w:val="0"/>
              <w:snapToGrid w:val="0"/>
              <w:spacing w:line="240" w:lineRule="exact"/>
              <w:rPr>
                <w:rFonts w:eastAsia="Times New Roman" w:cs="Calibri"/>
                <w:b/>
                <w:color w:val="000000"/>
                <w:szCs w:val="18"/>
                <w:lang w:val="x-none"/>
              </w:rPr>
            </w:pPr>
            <w:r w:rsidRPr="004C621F">
              <w:rPr>
                <w:rFonts w:eastAsia="Times New Roman" w:cs="Calibri"/>
                <w:b/>
                <w:color w:val="000000"/>
                <w:szCs w:val="18"/>
                <w:lang w:val="x-none"/>
              </w:rPr>
              <w:t xml:space="preserve">approach </w:t>
            </w:r>
            <w:proofErr w:type="spellStart"/>
            <w:r w:rsidRPr="004C621F">
              <w:rPr>
                <w:rFonts w:eastAsia="Times New Roman" w:cs="Calibri"/>
                <w:b/>
                <w:color w:val="000000"/>
                <w:szCs w:val="18"/>
                <w:lang w:val="x-none"/>
              </w:rPr>
              <w:t>to</w:t>
            </w:r>
            <w:proofErr w:type="spellEnd"/>
            <w:r w:rsidRPr="004C621F">
              <w:rPr>
                <w:rFonts w:eastAsia="Times New Roman" w:cs="Calibri"/>
                <w:b/>
                <w:color w:val="000000"/>
                <w:szCs w:val="18"/>
                <w:lang w:val="x-none"/>
              </w:rPr>
              <w:t xml:space="preserve"> </w:t>
            </w:r>
            <w:proofErr w:type="spellStart"/>
            <w:r w:rsidRPr="004C621F">
              <w:rPr>
                <w:rFonts w:eastAsia="Times New Roman" w:cs="Calibri"/>
                <w:b/>
                <w:color w:val="000000"/>
                <w:szCs w:val="18"/>
                <w:lang w:val="x-none"/>
              </w:rPr>
              <w:t>optimize</w:t>
            </w:r>
            <w:proofErr w:type="spellEnd"/>
            <w:r w:rsidRPr="004C621F">
              <w:rPr>
                <w:rFonts w:eastAsia="Times New Roman" w:cs="Calibri"/>
                <w:b/>
                <w:color w:val="000000"/>
                <w:szCs w:val="18"/>
                <w:lang w:val="x-none"/>
              </w:rPr>
              <w:t xml:space="preserve"> </w:t>
            </w:r>
            <w:proofErr w:type="spellStart"/>
            <w:r w:rsidRPr="004C621F">
              <w:rPr>
                <w:rFonts w:eastAsia="Times New Roman" w:cs="Calibri"/>
                <w:b/>
                <w:color w:val="000000"/>
                <w:szCs w:val="18"/>
                <w:lang w:val="x-none"/>
              </w:rPr>
              <w:t>infants</w:t>
            </w:r>
            <w:proofErr w:type="spellEnd"/>
            <w:r w:rsidRPr="004C621F">
              <w:rPr>
                <w:rFonts w:eastAsia="Times New Roman" w:cs="Calibri"/>
                <w:b/>
                <w:color w:val="000000"/>
                <w:szCs w:val="18"/>
                <w:lang w:val="x-none"/>
              </w:rPr>
              <w:t xml:space="preserve">’ </w:t>
            </w:r>
            <w:proofErr w:type="spellStart"/>
            <w:r w:rsidRPr="004C621F">
              <w:rPr>
                <w:rFonts w:eastAsia="Times New Roman" w:cs="Calibri"/>
                <w:b/>
                <w:color w:val="000000"/>
                <w:szCs w:val="18"/>
                <w:lang w:val="x-none"/>
              </w:rPr>
              <w:t>social</w:t>
            </w:r>
            <w:proofErr w:type="spellEnd"/>
            <w:r w:rsidR="00126A4B" w:rsidRPr="00126A4B">
              <w:rPr>
                <w:rFonts w:eastAsia="Times New Roman" w:cs="Calibri"/>
                <w:b/>
                <w:color w:val="000000"/>
                <w:szCs w:val="18"/>
                <w:lang w:val="en-GB"/>
              </w:rPr>
              <w:t>-</w:t>
            </w:r>
            <w:proofErr w:type="spellStart"/>
            <w:r w:rsidRPr="004C621F">
              <w:rPr>
                <w:rFonts w:eastAsia="Times New Roman" w:cs="Calibri"/>
                <w:b/>
                <w:color w:val="000000"/>
                <w:szCs w:val="18"/>
                <w:lang w:val="x-none"/>
              </w:rPr>
              <w:t>emotional</w:t>
            </w:r>
            <w:proofErr w:type="spellEnd"/>
            <w:r w:rsidR="00126A4B" w:rsidRPr="00126A4B">
              <w:rPr>
                <w:rFonts w:eastAsia="Times New Roman" w:cs="Calibri"/>
                <w:b/>
                <w:color w:val="000000"/>
                <w:szCs w:val="18"/>
                <w:lang w:val="en-GB"/>
              </w:rPr>
              <w:t xml:space="preserve"> </w:t>
            </w:r>
            <w:r w:rsidRPr="004C621F">
              <w:rPr>
                <w:rFonts w:eastAsia="Times New Roman" w:cs="Calibri"/>
                <w:b/>
                <w:color w:val="000000"/>
                <w:szCs w:val="18"/>
                <w:lang w:val="x-none"/>
              </w:rPr>
              <w:t xml:space="preserve">development: A </w:t>
            </w:r>
            <w:proofErr w:type="spellStart"/>
            <w:r w:rsidRPr="004C621F">
              <w:rPr>
                <w:rFonts w:eastAsia="Times New Roman" w:cs="Calibri"/>
                <w:b/>
                <w:color w:val="000000"/>
                <w:szCs w:val="18"/>
                <w:lang w:val="x-none"/>
              </w:rPr>
              <w:t>quasiexperimental</w:t>
            </w:r>
            <w:proofErr w:type="spellEnd"/>
            <w:r w:rsidR="00126A4B" w:rsidRPr="00126A4B">
              <w:rPr>
                <w:rFonts w:eastAsia="Times New Roman" w:cs="Calibri"/>
                <w:b/>
                <w:color w:val="000000"/>
                <w:szCs w:val="18"/>
                <w:lang w:val="en-GB"/>
              </w:rPr>
              <w:t xml:space="preserve"> </w:t>
            </w:r>
            <w:proofErr w:type="spellStart"/>
            <w:r w:rsidRPr="004C621F">
              <w:rPr>
                <w:rFonts w:eastAsia="Times New Roman" w:cs="Calibri"/>
                <w:b/>
                <w:color w:val="000000"/>
                <w:szCs w:val="18"/>
                <w:lang w:val="x-none"/>
              </w:rPr>
              <w:t>study</w:t>
            </w:r>
            <w:proofErr w:type="spellEnd"/>
          </w:p>
          <w:p w:rsidR="00126A4B" w:rsidRDefault="00126A4B" w:rsidP="006B2CA8">
            <w:pPr>
              <w:autoSpaceDE w:val="0"/>
              <w:autoSpaceDN w:val="0"/>
              <w:adjustRightInd w:val="0"/>
              <w:snapToGrid w:val="0"/>
              <w:spacing w:line="240" w:lineRule="exact"/>
              <w:rPr>
                <w:rFonts w:eastAsia="Times New Roman" w:cs="Calibri"/>
                <w:color w:val="000000"/>
                <w:szCs w:val="18"/>
                <w:lang w:val="x-none"/>
              </w:rPr>
            </w:pPr>
          </w:p>
          <w:p w:rsidR="004C621F" w:rsidRPr="004C621F" w:rsidRDefault="004C621F" w:rsidP="006B2CA8">
            <w:pPr>
              <w:autoSpaceDE w:val="0"/>
              <w:autoSpaceDN w:val="0"/>
              <w:adjustRightInd w:val="0"/>
              <w:snapToGrid w:val="0"/>
              <w:spacing w:line="240" w:lineRule="exact"/>
              <w:rPr>
                <w:rFonts w:eastAsia="Times New Roman" w:cs="Calibri"/>
                <w:color w:val="000000"/>
                <w:szCs w:val="18"/>
                <w:lang w:val="x-none"/>
              </w:rPr>
            </w:pPr>
            <w:r w:rsidRPr="004C621F">
              <w:rPr>
                <w:rFonts w:eastAsia="Times New Roman" w:cs="Calibri"/>
                <w:color w:val="000000"/>
                <w:szCs w:val="18"/>
                <w:lang w:val="x-none"/>
              </w:rPr>
              <w:t xml:space="preserve">Margriet </w:t>
            </w:r>
            <w:proofErr w:type="spellStart"/>
            <w:r w:rsidRPr="004C621F">
              <w:rPr>
                <w:rFonts w:eastAsia="Times New Roman" w:cs="Calibri"/>
                <w:color w:val="000000"/>
                <w:szCs w:val="18"/>
                <w:lang w:val="x-none"/>
              </w:rPr>
              <w:t>Hielkema</w:t>
            </w:r>
            <w:proofErr w:type="spellEnd"/>
          </w:p>
          <w:p w:rsidR="004C621F" w:rsidRPr="004C621F" w:rsidRDefault="004C621F" w:rsidP="006B2CA8">
            <w:pPr>
              <w:autoSpaceDE w:val="0"/>
              <w:autoSpaceDN w:val="0"/>
              <w:adjustRightInd w:val="0"/>
              <w:snapToGrid w:val="0"/>
              <w:spacing w:line="240" w:lineRule="exact"/>
              <w:rPr>
                <w:rFonts w:eastAsia="Times New Roman" w:cs="Calibri"/>
                <w:color w:val="000000"/>
                <w:szCs w:val="18"/>
                <w:lang w:val="x-none"/>
              </w:rPr>
            </w:pPr>
            <w:r w:rsidRPr="004C621F">
              <w:rPr>
                <w:rFonts w:eastAsia="Times New Roman" w:cs="Calibri"/>
                <w:color w:val="000000"/>
                <w:szCs w:val="18"/>
                <w:lang w:val="x-none"/>
              </w:rPr>
              <w:t>Andrea F. de Winter</w:t>
            </w:r>
          </w:p>
          <w:p w:rsidR="004C621F" w:rsidRPr="004C621F" w:rsidRDefault="004C621F" w:rsidP="006B2CA8">
            <w:pPr>
              <w:autoSpaceDE w:val="0"/>
              <w:autoSpaceDN w:val="0"/>
              <w:adjustRightInd w:val="0"/>
              <w:snapToGrid w:val="0"/>
              <w:spacing w:line="240" w:lineRule="exact"/>
              <w:rPr>
                <w:rFonts w:eastAsia="Times New Roman" w:cs="Calibri"/>
                <w:color w:val="000000"/>
                <w:szCs w:val="18"/>
                <w:lang w:val="x-none"/>
              </w:rPr>
            </w:pPr>
            <w:r w:rsidRPr="004C621F">
              <w:rPr>
                <w:rFonts w:eastAsia="Times New Roman" w:cs="Calibri"/>
                <w:color w:val="000000"/>
                <w:szCs w:val="18"/>
                <w:lang w:val="x-none"/>
              </w:rPr>
              <w:t>Roy E. Stewart</w:t>
            </w:r>
          </w:p>
          <w:p w:rsidR="004C621F" w:rsidRDefault="004C621F" w:rsidP="006B2CA8">
            <w:pPr>
              <w:autoSpaceDE w:val="0"/>
              <w:autoSpaceDN w:val="0"/>
              <w:adjustRightInd w:val="0"/>
              <w:snapToGrid w:val="0"/>
              <w:spacing w:line="240" w:lineRule="exact"/>
              <w:rPr>
                <w:rFonts w:eastAsia="Times New Roman" w:cs="Calibri"/>
                <w:color w:val="000000"/>
                <w:szCs w:val="18"/>
                <w:lang w:val="x-none"/>
              </w:rPr>
            </w:pPr>
            <w:r w:rsidRPr="004C621F">
              <w:rPr>
                <w:rFonts w:eastAsia="Times New Roman" w:cs="Calibri"/>
                <w:color w:val="000000"/>
                <w:szCs w:val="18"/>
                <w:lang w:val="x-none"/>
              </w:rPr>
              <w:t>Sijmen A. Reijneveld</w:t>
            </w:r>
          </w:p>
          <w:p w:rsidR="00126A4B" w:rsidRDefault="00126A4B" w:rsidP="006B2CA8">
            <w:pPr>
              <w:autoSpaceDE w:val="0"/>
              <w:autoSpaceDN w:val="0"/>
              <w:adjustRightInd w:val="0"/>
              <w:snapToGrid w:val="0"/>
              <w:spacing w:line="240" w:lineRule="exact"/>
              <w:rPr>
                <w:rFonts w:eastAsia="Times New Roman" w:cs="Calibri"/>
                <w:color w:val="000000"/>
                <w:szCs w:val="18"/>
                <w:lang w:val="x-none"/>
              </w:rPr>
            </w:pPr>
          </w:p>
          <w:p w:rsidR="007D04A1" w:rsidRDefault="007D04A1" w:rsidP="006B2CA8">
            <w:pPr>
              <w:autoSpaceDE w:val="0"/>
              <w:autoSpaceDN w:val="0"/>
              <w:adjustRightInd w:val="0"/>
              <w:snapToGrid w:val="0"/>
              <w:spacing w:line="240" w:lineRule="exact"/>
              <w:rPr>
                <w:rFonts w:eastAsia="Times New Roman" w:cs="Calibri"/>
                <w:color w:val="000000"/>
                <w:szCs w:val="18"/>
                <w:lang w:val="x-none"/>
              </w:rPr>
            </w:pPr>
          </w:p>
          <w:p w:rsidR="007D04A1" w:rsidRDefault="007D04A1" w:rsidP="006B2CA8">
            <w:pPr>
              <w:autoSpaceDE w:val="0"/>
              <w:autoSpaceDN w:val="0"/>
              <w:adjustRightInd w:val="0"/>
              <w:snapToGrid w:val="0"/>
              <w:spacing w:line="240" w:lineRule="exact"/>
              <w:rPr>
                <w:rFonts w:eastAsia="Times New Roman" w:cs="Calibri"/>
                <w:color w:val="000000"/>
                <w:szCs w:val="18"/>
                <w:lang w:val="x-none"/>
              </w:rPr>
            </w:pPr>
          </w:p>
          <w:p w:rsidR="007D04A1" w:rsidRDefault="007D04A1" w:rsidP="006B2CA8">
            <w:pPr>
              <w:autoSpaceDE w:val="0"/>
              <w:autoSpaceDN w:val="0"/>
              <w:adjustRightInd w:val="0"/>
              <w:snapToGrid w:val="0"/>
              <w:spacing w:line="240" w:lineRule="exact"/>
              <w:rPr>
                <w:rFonts w:eastAsia="Times New Roman" w:cs="Calibri"/>
                <w:color w:val="000000"/>
                <w:szCs w:val="18"/>
                <w:lang w:val="x-none"/>
              </w:rPr>
            </w:pPr>
          </w:p>
          <w:p w:rsidR="000404F6" w:rsidRDefault="000404F6" w:rsidP="006B2CA8">
            <w:pPr>
              <w:autoSpaceDE w:val="0"/>
              <w:autoSpaceDN w:val="0"/>
              <w:adjustRightInd w:val="0"/>
              <w:snapToGrid w:val="0"/>
              <w:spacing w:line="240" w:lineRule="exact"/>
              <w:rPr>
                <w:rFonts w:eastAsia="Times New Roman" w:cs="Calibri"/>
                <w:color w:val="000000"/>
                <w:szCs w:val="18"/>
                <w:lang w:val="x-none"/>
              </w:rPr>
            </w:pPr>
          </w:p>
          <w:p w:rsidR="000404F6" w:rsidRDefault="000404F6" w:rsidP="006B2CA8">
            <w:pPr>
              <w:autoSpaceDE w:val="0"/>
              <w:autoSpaceDN w:val="0"/>
              <w:adjustRightInd w:val="0"/>
              <w:snapToGrid w:val="0"/>
              <w:spacing w:line="240" w:lineRule="exact"/>
              <w:rPr>
                <w:rFonts w:eastAsia="Times New Roman" w:cs="Calibri"/>
                <w:color w:val="000000"/>
                <w:szCs w:val="18"/>
                <w:lang w:val="x-none"/>
              </w:rPr>
            </w:pPr>
          </w:p>
          <w:p w:rsidR="007D04A1" w:rsidRDefault="007D04A1" w:rsidP="006B2CA8">
            <w:pPr>
              <w:autoSpaceDE w:val="0"/>
              <w:autoSpaceDN w:val="0"/>
              <w:adjustRightInd w:val="0"/>
              <w:snapToGrid w:val="0"/>
              <w:spacing w:line="240" w:lineRule="exact"/>
              <w:rPr>
                <w:rFonts w:eastAsia="Times New Roman" w:cs="Calibri"/>
                <w:color w:val="000000"/>
                <w:szCs w:val="18"/>
                <w:lang w:val="x-none"/>
              </w:rPr>
            </w:pPr>
          </w:p>
          <w:p w:rsidR="006B2CA8" w:rsidRDefault="006B2CA8" w:rsidP="006B2CA8">
            <w:pPr>
              <w:spacing w:line="240" w:lineRule="exact"/>
              <w:jc w:val="center"/>
              <w:rPr>
                <w:b/>
                <w:szCs w:val="18"/>
              </w:rPr>
            </w:pPr>
          </w:p>
          <w:p w:rsidR="006B2CA8" w:rsidRDefault="006B2CA8" w:rsidP="006B2CA8">
            <w:pPr>
              <w:spacing w:line="240" w:lineRule="exact"/>
              <w:jc w:val="center"/>
              <w:rPr>
                <w:b/>
                <w:szCs w:val="18"/>
              </w:rPr>
            </w:pPr>
          </w:p>
          <w:p w:rsidR="004C621F" w:rsidRPr="006F63A1" w:rsidRDefault="004C621F" w:rsidP="006B2CA8">
            <w:pPr>
              <w:spacing w:line="240" w:lineRule="exact"/>
              <w:jc w:val="center"/>
              <w:rPr>
                <w:b/>
                <w:szCs w:val="18"/>
              </w:rPr>
            </w:pPr>
            <w:r w:rsidRPr="00F91921">
              <w:rPr>
                <w:b/>
                <w:szCs w:val="18"/>
              </w:rPr>
              <w:t xml:space="preserve">Oorspronkelijk tekst Hoofdstuk 3 in proefschrift </w:t>
            </w:r>
            <w:proofErr w:type="spellStart"/>
            <w:r w:rsidRPr="00F91921">
              <w:rPr>
                <w:b/>
                <w:szCs w:val="18"/>
              </w:rPr>
              <w:t>Hielkema</w:t>
            </w:r>
            <w:proofErr w:type="spellEnd"/>
          </w:p>
        </w:tc>
      </w:tr>
      <w:tr w:rsidR="00F91921" w:rsidRPr="00EF1C81" w:rsidTr="00277096">
        <w:tc>
          <w:tcPr>
            <w:tcW w:w="2500" w:type="pct"/>
            <w:shd w:val="clear" w:color="auto" w:fill="E7E6E6" w:themeFill="background2"/>
          </w:tcPr>
          <w:p w:rsidR="00F91921" w:rsidRPr="00F91921" w:rsidRDefault="00F91921" w:rsidP="006F63A1">
            <w:pPr>
              <w:rPr>
                <w:szCs w:val="18"/>
              </w:rPr>
            </w:pPr>
          </w:p>
        </w:tc>
        <w:tc>
          <w:tcPr>
            <w:tcW w:w="2500" w:type="pct"/>
            <w:shd w:val="clear" w:color="auto" w:fill="E7E6E6" w:themeFill="background2"/>
          </w:tcPr>
          <w:p w:rsidR="00F91921" w:rsidRPr="00F91921" w:rsidRDefault="00F91921" w:rsidP="006F63A1">
            <w:pPr>
              <w:rPr>
                <w:szCs w:val="18"/>
              </w:rPr>
            </w:pPr>
          </w:p>
        </w:tc>
      </w:tr>
      <w:tr w:rsidR="00F91921" w:rsidRPr="00762800" w:rsidTr="00FE1548">
        <w:tc>
          <w:tcPr>
            <w:tcW w:w="2500" w:type="pct"/>
          </w:tcPr>
          <w:p w:rsidR="00F91921" w:rsidRPr="00F91921" w:rsidRDefault="00F91921" w:rsidP="006F63A1">
            <w:pPr>
              <w:outlineLvl w:val="2"/>
              <w:rPr>
                <w:rFonts w:eastAsia="Times New Roman" w:cs="Times New Roman"/>
                <w:bCs/>
                <w:i/>
                <w:szCs w:val="18"/>
                <w:lang w:val="en-GB" w:eastAsia="nl-NL"/>
              </w:rPr>
            </w:pPr>
            <w:r w:rsidRPr="00F91921">
              <w:rPr>
                <w:rFonts w:eastAsia="Times New Roman" w:cs="Times New Roman"/>
                <w:bCs/>
                <w:i/>
                <w:szCs w:val="18"/>
                <w:lang w:val="en-GB" w:eastAsia="nl-NL"/>
              </w:rPr>
              <w:t>Earlier and more frequent identification of social-emotional problems</w:t>
            </w:r>
          </w:p>
          <w:p w:rsidR="00F91921" w:rsidRPr="00F91921" w:rsidRDefault="00F91921" w:rsidP="006F63A1">
            <w:pPr>
              <w:rPr>
                <w:szCs w:val="18"/>
                <w:lang w:val="en-GB"/>
              </w:rPr>
            </w:pPr>
            <w:r w:rsidRPr="00F91921">
              <w:rPr>
                <w:rFonts w:eastAsia="Times New Roman" w:cs="Times New Roman"/>
                <w:szCs w:val="18"/>
                <w:lang w:val="en-GB" w:eastAsia="nl-NL"/>
              </w:rPr>
              <w:t xml:space="preserve">The rates of </w:t>
            </w:r>
            <w:r w:rsidRPr="00447BE2">
              <w:rPr>
                <w:rFonts w:eastAsia="Times New Roman" w:cs="Times New Roman"/>
                <w:szCs w:val="18"/>
                <w:u w:val="single"/>
                <w:lang w:val="en-GB" w:eastAsia="nl-NL"/>
              </w:rPr>
              <w:t>newly identified risks</w:t>
            </w:r>
            <w:r w:rsidRPr="00F91921">
              <w:rPr>
                <w:rFonts w:eastAsia="Times New Roman" w:cs="Times New Roman"/>
                <w:szCs w:val="18"/>
                <w:lang w:val="en-GB" w:eastAsia="nl-NL"/>
              </w:rPr>
              <w:t xml:space="preserve"> for social-emotional problems were higher but not statistically significant, in the FCC-</w:t>
            </w:r>
            <w:proofErr w:type="spellStart"/>
            <w:r w:rsidRPr="00F91921">
              <w:rPr>
                <w:rFonts w:eastAsia="Times New Roman" w:cs="Times New Roman"/>
                <w:szCs w:val="18"/>
                <w:lang w:val="en-GB" w:eastAsia="nl-NL"/>
              </w:rPr>
              <w:t>JointStart</w:t>
            </w:r>
            <w:proofErr w:type="spellEnd"/>
            <w:r w:rsidRPr="00F91921">
              <w:rPr>
                <w:rFonts w:eastAsia="Times New Roman" w:cs="Times New Roman"/>
                <w:szCs w:val="18"/>
                <w:lang w:val="en-GB" w:eastAsia="nl-NL"/>
              </w:rPr>
              <w:t xml:space="preserve"> than in the </w:t>
            </w:r>
            <w:proofErr w:type="spellStart"/>
            <w:r w:rsidRPr="00F91921">
              <w:rPr>
                <w:rFonts w:eastAsia="Times New Roman" w:cs="Times New Roman"/>
                <w:szCs w:val="18"/>
                <w:lang w:val="en-GB" w:eastAsia="nl-NL"/>
              </w:rPr>
              <w:t>CAU</w:t>
            </w:r>
            <w:proofErr w:type="spellEnd"/>
            <w:r w:rsidRPr="00F91921">
              <w:rPr>
                <w:rFonts w:eastAsia="Times New Roman" w:cs="Times New Roman"/>
                <w:szCs w:val="18"/>
                <w:lang w:val="en-GB" w:eastAsia="nl-NL"/>
              </w:rPr>
              <w:t xml:space="preserve"> group (24.7% vs. 22.0%, crude odds ratio, OR (95%-confidence interval, CI) 1.44 (0.96; 2.18), </w:t>
            </w:r>
            <w:r w:rsidRPr="00F91921">
              <w:rPr>
                <w:rFonts w:eastAsia="Times New Roman" w:cs="Times New Roman"/>
                <w:i/>
                <w:iCs/>
                <w:szCs w:val="18"/>
                <w:lang w:val="en-GB" w:eastAsia="nl-NL"/>
              </w:rPr>
              <w:t>p =</w:t>
            </w:r>
            <w:r w:rsidRPr="00F91921">
              <w:rPr>
                <w:rFonts w:eastAsia="Times New Roman" w:cs="Times New Roman"/>
                <w:szCs w:val="18"/>
                <w:lang w:val="en-GB" w:eastAsia="nl-NL"/>
              </w:rPr>
              <w:t xml:space="preserve"> .02; the effect was small (Phi 0.03). </w:t>
            </w:r>
            <w:r w:rsidRPr="00447BE2">
              <w:rPr>
                <w:rFonts w:eastAsia="Times New Roman" w:cs="Times New Roman"/>
                <w:szCs w:val="18"/>
                <w:u w:val="single"/>
                <w:lang w:val="en-GB" w:eastAsia="nl-NL"/>
              </w:rPr>
              <w:t>It became larger and statistically significant when adjusted for potential confounding variables (OR 1.94; 95%-CI (1.10; 3.41))</w:t>
            </w:r>
            <w:r w:rsidRPr="00F91921">
              <w:rPr>
                <w:rFonts w:eastAsia="Times New Roman" w:cs="Times New Roman"/>
                <w:szCs w:val="18"/>
                <w:lang w:val="en-GB" w:eastAsia="nl-NL"/>
              </w:rPr>
              <w:t xml:space="preserve">. </w:t>
            </w:r>
          </w:p>
        </w:tc>
        <w:tc>
          <w:tcPr>
            <w:tcW w:w="2500" w:type="pct"/>
          </w:tcPr>
          <w:p w:rsidR="00F91921" w:rsidRPr="00F91921" w:rsidRDefault="00F91921" w:rsidP="006F63A1">
            <w:pPr>
              <w:autoSpaceDE w:val="0"/>
              <w:autoSpaceDN w:val="0"/>
              <w:adjustRightInd w:val="0"/>
              <w:snapToGrid w:val="0"/>
              <w:rPr>
                <w:rFonts w:eastAsia="Times New Roman" w:cs="Calibri"/>
                <w:i/>
                <w:color w:val="000000"/>
                <w:szCs w:val="18"/>
                <w:lang w:val="en-GB"/>
              </w:rPr>
            </w:pPr>
            <w:r w:rsidRPr="00F91921">
              <w:rPr>
                <w:rFonts w:eastAsia="Times New Roman" w:cs="Calibri"/>
                <w:i/>
                <w:color w:val="000000"/>
                <w:szCs w:val="18"/>
                <w:lang w:val="en-GB"/>
              </w:rPr>
              <w:t>Rates of identified risks for social-emotional problems and pace of identification</w:t>
            </w:r>
          </w:p>
          <w:p w:rsidR="00F91921" w:rsidRPr="00F91921" w:rsidRDefault="00F91921" w:rsidP="006F63A1">
            <w:pPr>
              <w:autoSpaceDE w:val="0"/>
              <w:autoSpaceDN w:val="0"/>
              <w:adjustRightInd w:val="0"/>
              <w:snapToGrid w:val="0"/>
              <w:rPr>
                <w:szCs w:val="18"/>
                <w:lang w:val="en-GB"/>
              </w:rPr>
            </w:pPr>
            <w:r w:rsidRPr="00F91921">
              <w:rPr>
                <w:rFonts w:eastAsia="Times New Roman" w:cs="Calibri"/>
                <w:color w:val="000000"/>
                <w:szCs w:val="18"/>
                <w:lang w:val="en-GB"/>
              </w:rPr>
              <w:t xml:space="preserve">The rates of identified risks for social-emotional problems differed significantly between the </w:t>
            </w:r>
            <w:proofErr w:type="spellStart"/>
            <w:r w:rsidRPr="00F91921">
              <w:rPr>
                <w:rFonts w:eastAsia="Times New Roman" w:cs="Calibri"/>
                <w:color w:val="000000"/>
                <w:szCs w:val="18"/>
                <w:lang w:val="en-GB"/>
              </w:rPr>
              <w:t>FCA</w:t>
            </w:r>
            <w:proofErr w:type="spellEnd"/>
            <w:r w:rsidRPr="00F91921">
              <w:rPr>
                <w:rFonts w:eastAsia="Times New Roman" w:cs="Calibri"/>
                <w:color w:val="000000"/>
                <w:szCs w:val="18"/>
                <w:lang w:val="en-GB"/>
              </w:rPr>
              <w:t xml:space="preserve"> and </w:t>
            </w:r>
            <w:proofErr w:type="spellStart"/>
            <w:r w:rsidRPr="00F91921">
              <w:rPr>
                <w:rFonts w:eastAsia="Times New Roman" w:cs="Calibri"/>
                <w:color w:val="000000"/>
                <w:szCs w:val="18"/>
                <w:lang w:val="en-GB"/>
              </w:rPr>
              <w:t>CAU</w:t>
            </w:r>
            <w:proofErr w:type="spellEnd"/>
            <w:r w:rsidRPr="00F91921">
              <w:rPr>
                <w:rFonts w:eastAsia="Times New Roman" w:cs="Calibri"/>
                <w:color w:val="000000"/>
                <w:szCs w:val="18"/>
                <w:lang w:val="en-GB"/>
              </w:rPr>
              <w:t xml:space="preserve"> group (24.7% and 22.0% for the </w:t>
            </w:r>
            <w:proofErr w:type="spellStart"/>
            <w:r w:rsidRPr="00F91921">
              <w:rPr>
                <w:rFonts w:eastAsia="Times New Roman" w:cs="Calibri"/>
                <w:color w:val="000000"/>
                <w:szCs w:val="18"/>
                <w:lang w:val="en-GB"/>
              </w:rPr>
              <w:t>FCA</w:t>
            </w:r>
            <w:proofErr w:type="spellEnd"/>
            <w:r w:rsidRPr="00F91921">
              <w:rPr>
                <w:rFonts w:eastAsia="Times New Roman" w:cs="Calibri"/>
                <w:color w:val="000000"/>
                <w:szCs w:val="18"/>
                <w:lang w:val="en-GB"/>
              </w:rPr>
              <w:t xml:space="preserve"> and </w:t>
            </w:r>
            <w:proofErr w:type="spellStart"/>
            <w:r w:rsidRPr="00F91921">
              <w:rPr>
                <w:rFonts w:eastAsia="Times New Roman" w:cs="Calibri"/>
                <w:color w:val="000000"/>
                <w:szCs w:val="18"/>
                <w:lang w:val="en-GB"/>
              </w:rPr>
              <w:t>CAU</w:t>
            </w:r>
            <w:proofErr w:type="spellEnd"/>
            <w:r w:rsidRPr="00F91921">
              <w:rPr>
                <w:rFonts w:eastAsia="Times New Roman" w:cs="Calibri"/>
                <w:color w:val="000000"/>
                <w:szCs w:val="18"/>
                <w:lang w:val="en-GB"/>
              </w:rPr>
              <w:t xml:space="preserve"> group respectively, </w:t>
            </w:r>
            <w:r w:rsidRPr="00F91921">
              <w:rPr>
                <w:rFonts w:eastAsia="Times New Roman" w:cs="Calibri"/>
                <w:i/>
                <w:color w:val="000000"/>
                <w:szCs w:val="18"/>
                <w:lang w:val="en-GB"/>
              </w:rPr>
              <w:t>p=.</w:t>
            </w:r>
            <w:r w:rsidRPr="00F91921">
              <w:rPr>
                <w:rFonts w:eastAsia="Times New Roman" w:cs="Calibri"/>
                <w:color w:val="000000"/>
                <w:szCs w:val="18"/>
                <w:lang w:val="en-GB"/>
              </w:rPr>
              <w:t xml:space="preserve">02), though the effect was small (Phi .03). The effect became slightly larger when adjusted for potential confounders. </w:t>
            </w:r>
          </w:p>
        </w:tc>
      </w:tr>
      <w:tr w:rsidR="00F91921" w:rsidRPr="00EF1C81" w:rsidTr="004E0B78">
        <w:tc>
          <w:tcPr>
            <w:tcW w:w="5000" w:type="pct"/>
            <w:gridSpan w:val="2"/>
            <w:shd w:val="clear" w:color="auto" w:fill="E7E6E6" w:themeFill="background2"/>
          </w:tcPr>
          <w:p w:rsidR="006B2CA8" w:rsidRDefault="006B2CA8" w:rsidP="006F63A1">
            <w:pPr>
              <w:jc w:val="center"/>
              <w:rPr>
                <w:b/>
                <w:szCs w:val="18"/>
                <w:lang w:val="en-GB"/>
              </w:rPr>
            </w:pPr>
          </w:p>
          <w:p w:rsidR="00F91921" w:rsidRPr="00F91921" w:rsidRDefault="00F91921" w:rsidP="006F63A1">
            <w:pPr>
              <w:jc w:val="center"/>
              <w:rPr>
                <w:szCs w:val="18"/>
                <w:lang w:val="en-GB"/>
              </w:rPr>
            </w:pPr>
            <w:r w:rsidRPr="00F91921">
              <w:rPr>
                <w:b/>
                <w:szCs w:val="18"/>
                <w:lang w:val="en-GB"/>
              </w:rPr>
              <w:t>DISCUSSION</w:t>
            </w:r>
          </w:p>
        </w:tc>
      </w:tr>
      <w:tr w:rsidR="00F91921" w:rsidRPr="00762800" w:rsidTr="00FE1548">
        <w:tc>
          <w:tcPr>
            <w:tcW w:w="2500" w:type="pct"/>
          </w:tcPr>
          <w:p w:rsidR="006B2CA8" w:rsidRPr="00F91921" w:rsidRDefault="00F91921" w:rsidP="006F63A1">
            <w:pPr>
              <w:rPr>
                <w:szCs w:val="18"/>
                <w:lang w:val="en-GB"/>
              </w:rPr>
            </w:pPr>
            <w:r w:rsidRPr="00F91921">
              <w:rPr>
                <w:rFonts w:eastAsia="Times New Roman" w:cs="Times New Roman"/>
                <w:szCs w:val="18"/>
                <w:lang w:val="en-GB" w:eastAsia="nl-NL"/>
              </w:rPr>
              <w:t>Identification of children at risk was more frequent and earlier in the FCC-</w:t>
            </w:r>
            <w:proofErr w:type="spellStart"/>
            <w:r w:rsidRPr="00F91921">
              <w:rPr>
                <w:rFonts w:eastAsia="Times New Roman" w:cs="Times New Roman"/>
                <w:szCs w:val="18"/>
                <w:lang w:val="en-GB" w:eastAsia="nl-NL"/>
              </w:rPr>
              <w:t>JointStart</w:t>
            </w:r>
            <w:proofErr w:type="spellEnd"/>
            <w:r w:rsidRPr="00F91921">
              <w:rPr>
                <w:rFonts w:eastAsia="Times New Roman" w:cs="Times New Roman"/>
                <w:szCs w:val="18"/>
                <w:lang w:val="en-GB" w:eastAsia="nl-NL"/>
              </w:rPr>
              <w:t xml:space="preserve"> group than in the </w:t>
            </w:r>
            <w:proofErr w:type="spellStart"/>
            <w:r w:rsidRPr="00F91921">
              <w:rPr>
                <w:rFonts w:eastAsia="Times New Roman" w:cs="Times New Roman"/>
                <w:szCs w:val="18"/>
                <w:lang w:val="en-GB" w:eastAsia="nl-NL"/>
              </w:rPr>
              <w:t>CAU</w:t>
            </w:r>
            <w:proofErr w:type="spellEnd"/>
            <w:r w:rsidRPr="00F91921">
              <w:rPr>
                <w:rFonts w:eastAsia="Times New Roman" w:cs="Times New Roman"/>
                <w:szCs w:val="18"/>
                <w:lang w:val="en-GB" w:eastAsia="nl-NL"/>
              </w:rPr>
              <w:t xml:space="preserve"> group. A somewhat similar study compared trained to non-trained </w:t>
            </w:r>
            <w:proofErr w:type="spellStart"/>
            <w:r w:rsidRPr="00F91921">
              <w:rPr>
                <w:rFonts w:eastAsia="Times New Roman" w:cs="Times New Roman"/>
                <w:szCs w:val="18"/>
                <w:lang w:val="en-GB" w:eastAsia="nl-NL"/>
              </w:rPr>
              <w:t>PCH</w:t>
            </w:r>
            <w:proofErr w:type="spellEnd"/>
            <w:r w:rsidRPr="00F91921">
              <w:rPr>
                <w:rFonts w:eastAsia="Times New Roman" w:cs="Times New Roman"/>
                <w:szCs w:val="18"/>
                <w:lang w:val="en-GB" w:eastAsia="nl-NL"/>
              </w:rPr>
              <w:t xml:space="preserve"> professionals regarding the identification of psychosocial problems in early school-age children (5–6 years). It found that trained professionals, who used a structured method to assess psychosocial problems, identified moderate and severe problems more accurately than non-trained professionals. The most likely explanation for our finding of earlier and more identification of problems is that the core components of FCC may add to the identification of risks. Potentially, a structured approach may add to that, and should thus be seriously </w:t>
            </w:r>
            <w:r w:rsidRPr="00F91921">
              <w:rPr>
                <w:rFonts w:eastAsia="Times New Roman" w:cs="Times New Roman"/>
                <w:szCs w:val="18"/>
                <w:lang w:val="en-GB" w:eastAsia="nl-NL"/>
              </w:rPr>
              <w:lastRenderedPageBreak/>
              <w:t>considered in any FCC approach in well-child care.</w:t>
            </w:r>
            <w:r w:rsidRPr="00F91921">
              <w:rPr>
                <w:szCs w:val="18"/>
                <w:lang w:val="en-GB"/>
              </w:rPr>
              <w:t xml:space="preserve"> </w:t>
            </w:r>
          </w:p>
        </w:tc>
        <w:tc>
          <w:tcPr>
            <w:tcW w:w="2500" w:type="pct"/>
          </w:tcPr>
          <w:p w:rsidR="00F91921" w:rsidRPr="00F91921" w:rsidRDefault="00F91921" w:rsidP="006F63A1">
            <w:pPr>
              <w:autoSpaceDE w:val="0"/>
              <w:autoSpaceDN w:val="0"/>
              <w:adjustRightInd w:val="0"/>
              <w:snapToGrid w:val="0"/>
              <w:rPr>
                <w:szCs w:val="18"/>
                <w:lang w:val="en-GB"/>
              </w:rPr>
            </w:pPr>
            <w:r w:rsidRPr="00F91921">
              <w:rPr>
                <w:rFonts w:eastAsia="Times New Roman" w:cs="Calibri"/>
                <w:color w:val="000000"/>
                <w:szCs w:val="18"/>
                <w:lang w:val="en-GB"/>
              </w:rPr>
              <w:lastRenderedPageBreak/>
              <w:t xml:space="preserve">A somewhat similar study compared trained to non-trained </w:t>
            </w:r>
            <w:proofErr w:type="spellStart"/>
            <w:r w:rsidRPr="00F91921">
              <w:rPr>
                <w:rFonts w:eastAsia="Times New Roman" w:cs="Calibri"/>
                <w:color w:val="000000"/>
                <w:szCs w:val="18"/>
                <w:lang w:val="en-GB"/>
              </w:rPr>
              <w:t>PCH</w:t>
            </w:r>
            <w:proofErr w:type="spellEnd"/>
            <w:r w:rsidRPr="00F91921">
              <w:rPr>
                <w:rFonts w:eastAsia="Times New Roman" w:cs="Calibri"/>
                <w:color w:val="000000"/>
                <w:szCs w:val="18"/>
                <w:lang w:val="en-GB"/>
              </w:rPr>
              <w:t xml:space="preserve"> professionals regarding the identification of psychosocial problems. Results showed that trained professionals, who used a structured method to assess psychosocial problems, identified moderate and severe problems more accurately as compared to non-trained professionals. However, the children were older (5-6 years) than in our study, making results hard to compare. The most likely explanation for our finding of more risks at a faster pace concerns the structural attention that is given to all potential risks.</w:t>
            </w:r>
          </w:p>
        </w:tc>
      </w:tr>
      <w:tr w:rsidR="00F91921" w:rsidRPr="00EF1C81" w:rsidTr="004E0B78">
        <w:tc>
          <w:tcPr>
            <w:tcW w:w="5000" w:type="pct"/>
            <w:gridSpan w:val="2"/>
            <w:shd w:val="clear" w:color="auto" w:fill="E7E6E6" w:themeFill="background2"/>
          </w:tcPr>
          <w:p w:rsidR="006B2CA8" w:rsidRDefault="006B2CA8" w:rsidP="006F63A1">
            <w:pPr>
              <w:jc w:val="center"/>
              <w:rPr>
                <w:b/>
                <w:szCs w:val="18"/>
                <w:lang w:val="en-GB"/>
              </w:rPr>
            </w:pPr>
          </w:p>
          <w:p w:rsidR="00F91921" w:rsidRPr="00F91921" w:rsidRDefault="00F91921" w:rsidP="006F63A1">
            <w:pPr>
              <w:jc w:val="center"/>
              <w:rPr>
                <w:szCs w:val="18"/>
                <w:lang w:val="en-GB"/>
              </w:rPr>
            </w:pPr>
            <w:r w:rsidRPr="00F91921">
              <w:rPr>
                <w:b/>
                <w:szCs w:val="18"/>
                <w:lang w:val="en-GB"/>
              </w:rPr>
              <w:t>STRENGTHS AND LIMITATIONS</w:t>
            </w:r>
          </w:p>
        </w:tc>
      </w:tr>
      <w:tr w:rsidR="00F91921" w:rsidRPr="00762800" w:rsidTr="00FE1548">
        <w:tc>
          <w:tcPr>
            <w:tcW w:w="2500" w:type="pct"/>
          </w:tcPr>
          <w:p w:rsidR="00F91921" w:rsidRPr="00F91921" w:rsidRDefault="00F91921" w:rsidP="006F63A1">
            <w:pPr>
              <w:outlineLvl w:val="2"/>
              <w:rPr>
                <w:rFonts w:eastAsia="Times New Roman" w:cs="Times New Roman"/>
                <w:szCs w:val="18"/>
                <w:lang w:val="en-GB" w:eastAsia="nl-NL"/>
              </w:rPr>
            </w:pPr>
            <w:r w:rsidRPr="00F91921">
              <w:rPr>
                <w:rFonts w:eastAsia="Times New Roman" w:cs="Times New Roman"/>
                <w:szCs w:val="18"/>
                <w:lang w:val="en-GB" w:eastAsia="nl-NL"/>
              </w:rPr>
              <w:t xml:space="preserve">Major strengths of our study are the inclusion of a large group of children with a rather long follow-up in routine well-child care and a small loss to follow up, in a well-powered quasi-experimental design Moreover, our study concerned routine well-child care and full communities, which highly adds to the generalizability of the findings. However, our study also has some limitations. </w:t>
            </w:r>
          </w:p>
          <w:p w:rsidR="00F91921" w:rsidRPr="00F91921" w:rsidRDefault="00F91921" w:rsidP="006F63A1">
            <w:pPr>
              <w:outlineLvl w:val="2"/>
              <w:rPr>
                <w:szCs w:val="18"/>
                <w:lang w:val="en-GB"/>
              </w:rPr>
            </w:pPr>
            <w:r w:rsidRPr="00F91921">
              <w:rPr>
                <w:rFonts w:eastAsia="Times New Roman" w:cs="Times New Roman"/>
                <w:szCs w:val="18"/>
                <w:lang w:val="en-GB" w:eastAsia="nl-NL"/>
              </w:rPr>
              <w:t>First, background characteristics of the two groups differed somewhat, as well as participation rates. These differences were small and were adjusted for in the analyses, but unmeasured factors may still have affected our findings though a significant impact is unlikely given the large differences that we found.</w:t>
            </w:r>
          </w:p>
        </w:tc>
        <w:tc>
          <w:tcPr>
            <w:tcW w:w="2500" w:type="pct"/>
          </w:tcPr>
          <w:p w:rsidR="00F91921" w:rsidRPr="00F91921" w:rsidRDefault="00F91921" w:rsidP="006F63A1">
            <w:pPr>
              <w:autoSpaceDE w:val="0"/>
              <w:autoSpaceDN w:val="0"/>
              <w:adjustRightInd w:val="0"/>
              <w:snapToGrid w:val="0"/>
              <w:rPr>
                <w:rFonts w:eastAsia="Times New Roman" w:cs="Calibri"/>
                <w:color w:val="000000"/>
                <w:szCs w:val="18"/>
                <w:lang w:val="en-GB"/>
              </w:rPr>
            </w:pPr>
            <w:r w:rsidRPr="00F91921">
              <w:rPr>
                <w:rFonts w:eastAsia="Times New Roman" w:cs="Calibri"/>
                <w:color w:val="000000"/>
                <w:szCs w:val="18"/>
                <w:lang w:val="en-GB"/>
              </w:rPr>
              <w:t xml:space="preserve">Major strengths of our study are the inclusion of a large group of children with a rather long follow-up in routine </w:t>
            </w:r>
            <w:proofErr w:type="spellStart"/>
            <w:r w:rsidRPr="00F91921">
              <w:rPr>
                <w:rFonts w:eastAsia="Times New Roman" w:cs="Calibri"/>
                <w:color w:val="000000"/>
                <w:szCs w:val="18"/>
                <w:lang w:val="en-GB"/>
              </w:rPr>
              <w:t>PCH</w:t>
            </w:r>
            <w:proofErr w:type="spellEnd"/>
            <w:r w:rsidRPr="00F91921">
              <w:rPr>
                <w:rFonts w:eastAsia="Times New Roman" w:cs="Calibri"/>
                <w:color w:val="000000"/>
                <w:szCs w:val="18"/>
                <w:lang w:val="en-GB"/>
              </w:rPr>
              <w:t xml:space="preserve"> care and a small loss to follow up, in a quasi-experimental design. However, our study also has some limitations.</w:t>
            </w:r>
          </w:p>
          <w:p w:rsidR="00F91921" w:rsidRPr="00F91921" w:rsidRDefault="00F91921" w:rsidP="006F63A1">
            <w:pPr>
              <w:autoSpaceDE w:val="0"/>
              <w:autoSpaceDN w:val="0"/>
              <w:adjustRightInd w:val="0"/>
              <w:snapToGrid w:val="0"/>
              <w:rPr>
                <w:szCs w:val="18"/>
                <w:lang w:val="en-GB"/>
              </w:rPr>
            </w:pPr>
            <w:r w:rsidRPr="00F91921">
              <w:rPr>
                <w:rFonts w:eastAsia="Times New Roman" w:cs="Calibri"/>
                <w:color w:val="000000"/>
                <w:szCs w:val="18"/>
                <w:lang w:val="en-GB"/>
              </w:rPr>
              <w:t>First, background characteristics of the two groups differed somewhat, but differences were small, and were adjusted for in the analyses, making any significant impact unlikely.</w:t>
            </w:r>
          </w:p>
        </w:tc>
      </w:tr>
      <w:tr w:rsidR="00F91921" w:rsidRPr="00762800" w:rsidTr="00FE1548">
        <w:tc>
          <w:tcPr>
            <w:tcW w:w="2500" w:type="pct"/>
          </w:tcPr>
          <w:p w:rsidR="00F91921" w:rsidRPr="00F91921" w:rsidRDefault="00F91921" w:rsidP="006F63A1">
            <w:pPr>
              <w:outlineLvl w:val="2"/>
              <w:rPr>
                <w:rFonts w:eastAsia="Times New Roman" w:cs="Times New Roman"/>
                <w:b/>
                <w:i/>
                <w:szCs w:val="18"/>
                <w:lang w:val="en-GB" w:eastAsia="nl-NL"/>
              </w:rPr>
            </w:pPr>
            <w:r w:rsidRPr="00F91921">
              <w:rPr>
                <w:rFonts w:eastAsia="Times New Roman" w:cs="Times New Roman"/>
                <w:b/>
                <w:i/>
                <w:szCs w:val="18"/>
                <w:lang w:val="en-GB" w:eastAsia="nl-NL"/>
              </w:rPr>
              <w:t xml:space="preserve">In </w:t>
            </w:r>
            <w:proofErr w:type="spellStart"/>
            <w:r w:rsidRPr="00F91921">
              <w:rPr>
                <w:rFonts w:eastAsia="Times New Roman" w:cs="Times New Roman"/>
                <w:b/>
                <w:i/>
                <w:szCs w:val="18"/>
                <w:lang w:val="en-GB" w:eastAsia="nl-NL"/>
              </w:rPr>
              <w:t>artikel</w:t>
            </w:r>
            <w:proofErr w:type="spellEnd"/>
            <w:r w:rsidRPr="00F91921">
              <w:rPr>
                <w:rFonts w:eastAsia="Times New Roman" w:cs="Times New Roman"/>
                <w:b/>
                <w:i/>
                <w:szCs w:val="18"/>
                <w:lang w:val="en-GB" w:eastAsia="nl-NL"/>
              </w:rPr>
              <w:t xml:space="preserve"> </w:t>
            </w:r>
            <w:proofErr w:type="spellStart"/>
            <w:r w:rsidRPr="00F91921">
              <w:rPr>
                <w:rFonts w:eastAsia="Times New Roman" w:cs="Times New Roman"/>
                <w:b/>
                <w:i/>
                <w:szCs w:val="18"/>
                <w:lang w:val="en-GB" w:eastAsia="nl-NL"/>
              </w:rPr>
              <w:t>toegevoegd</w:t>
            </w:r>
            <w:proofErr w:type="spellEnd"/>
            <w:r w:rsidRPr="00F91921">
              <w:rPr>
                <w:rFonts w:eastAsia="Times New Roman" w:cs="Times New Roman"/>
                <w:b/>
                <w:i/>
                <w:szCs w:val="18"/>
                <w:lang w:val="en-GB" w:eastAsia="nl-NL"/>
              </w:rPr>
              <w:t>:</w:t>
            </w:r>
          </w:p>
          <w:p w:rsidR="00F91921" w:rsidRPr="00F91921" w:rsidRDefault="00F91921" w:rsidP="006F63A1">
            <w:pPr>
              <w:rPr>
                <w:rFonts w:eastAsia="Times New Roman" w:cs="Times New Roman"/>
                <w:szCs w:val="18"/>
                <w:lang w:val="en-GB" w:eastAsia="nl-NL"/>
              </w:rPr>
            </w:pPr>
            <w:r w:rsidRPr="00F91921">
              <w:rPr>
                <w:rFonts w:eastAsia="Times New Roman" w:cs="Times New Roman"/>
                <w:szCs w:val="18"/>
                <w:lang w:val="en-GB" w:eastAsia="nl-NL"/>
              </w:rPr>
              <w:t xml:space="preserve">Fourth, </w:t>
            </w:r>
            <w:proofErr w:type="spellStart"/>
            <w:r w:rsidRPr="00F91921">
              <w:rPr>
                <w:rFonts w:eastAsia="Times New Roman" w:cs="Times New Roman"/>
                <w:szCs w:val="18"/>
                <w:lang w:val="en-GB" w:eastAsia="nl-NL"/>
              </w:rPr>
              <w:t>PCH</w:t>
            </w:r>
            <w:proofErr w:type="spellEnd"/>
            <w:r w:rsidRPr="00F91921">
              <w:rPr>
                <w:rFonts w:eastAsia="Times New Roman" w:cs="Times New Roman"/>
                <w:szCs w:val="18"/>
                <w:lang w:val="en-GB" w:eastAsia="nl-NL"/>
              </w:rPr>
              <w:t xml:space="preserve"> professionals in the FCC and </w:t>
            </w:r>
            <w:proofErr w:type="spellStart"/>
            <w:r w:rsidRPr="00F91921">
              <w:rPr>
                <w:rFonts w:eastAsia="Times New Roman" w:cs="Times New Roman"/>
                <w:szCs w:val="18"/>
                <w:lang w:val="en-GB" w:eastAsia="nl-NL"/>
              </w:rPr>
              <w:t>CAU</w:t>
            </w:r>
            <w:proofErr w:type="spellEnd"/>
            <w:r w:rsidRPr="00F91921">
              <w:rPr>
                <w:rFonts w:eastAsia="Times New Roman" w:cs="Times New Roman"/>
                <w:szCs w:val="18"/>
                <w:lang w:val="en-GB" w:eastAsia="nl-NL"/>
              </w:rPr>
              <w:t xml:space="preserve"> groups may have differed in performance in advance of the study. This is rather unlikely given the very uniform training of </w:t>
            </w:r>
            <w:proofErr w:type="spellStart"/>
            <w:r w:rsidRPr="00F91921">
              <w:rPr>
                <w:rFonts w:eastAsia="Times New Roman" w:cs="Times New Roman"/>
                <w:szCs w:val="18"/>
                <w:lang w:val="en-GB" w:eastAsia="nl-NL"/>
              </w:rPr>
              <w:t>PCH</w:t>
            </w:r>
            <w:proofErr w:type="spellEnd"/>
            <w:r w:rsidRPr="00F91921">
              <w:rPr>
                <w:rFonts w:eastAsia="Times New Roman" w:cs="Times New Roman"/>
                <w:szCs w:val="18"/>
                <w:lang w:val="en-GB" w:eastAsia="nl-NL"/>
              </w:rPr>
              <w:t xml:space="preserve"> professionals, the similarity of the groups of participating professionals in both regions, and the highly standardized way of working, but evidently we cannot exclude this fully. Finally, </w:t>
            </w:r>
            <w:proofErr w:type="spellStart"/>
            <w:r w:rsidRPr="00F91921">
              <w:rPr>
                <w:rFonts w:eastAsia="Times New Roman" w:cs="Times New Roman"/>
                <w:szCs w:val="18"/>
                <w:lang w:val="en-GB" w:eastAsia="nl-NL"/>
              </w:rPr>
              <w:t>PCH</w:t>
            </w:r>
            <w:proofErr w:type="spellEnd"/>
            <w:r w:rsidRPr="00F91921">
              <w:rPr>
                <w:rFonts w:eastAsia="Times New Roman" w:cs="Times New Roman"/>
                <w:szCs w:val="18"/>
                <w:lang w:val="en-GB" w:eastAsia="nl-NL"/>
              </w:rPr>
              <w:t xml:space="preserve"> professionals in the FCC and </w:t>
            </w:r>
            <w:proofErr w:type="spellStart"/>
            <w:r w:rsidRPr="00F91921">
              <w:rPr>
                <w:rFonts w:eastAsia="Times New Roman" w:cs="Times New Roman"/>
                <w:szCs w:val="18"/>
                <w:lang w:val="en-GB" w:eastAsia="nl-NL"/>
              </w:rPr>
              <w:t>CAU</w:t>
            </w:r>
            <w:proofErr w:type="spellEnd"/>
            <w:r w:rsidRPr="00F91921">
              <w:rPr>
                <w:rFonts w:eastAsia="Times New Roman" w:cs="Times New Roman"/>
                <w:szCs w:val="18"/>
                <w:lang w:val="en-GB" w:eastAsia="nl-NL"/>
              </w:rPr>
              <w:t xml:space="preserve"> groups may have </w:t>
            </w:r>
            <w:proofErr w:type="spellStart"/>
            <w:r w:rsidRPr="00F91921">
              <w:rPr>
                <w:rFonts w:eastAsia="Times New Roman" w:cs="Times New Roman"/>
                <w:szCs w:val="18"/>
                <w:lang w:val="en-GB" w:eastAsia="nl-NL"/>
              </w:rPr>
              <w:t>labeled</w:t>
            </w:r>
            <w:proofErr w:type="spellEnd"/>
            <w:r w:rsidRPr="00F91921">
              <w:rPr>
                <w:rFonts w:eastAsia="Times New Roman" w:cs="Times New Roman"/>
                <w:szCs w:val="18"/>
                <w:lang w:val="en-GB" w:eastAsia="nl-NL"/>
              </w:rPr>
              <w:t xml:space="preserve"> the severity of problems in a different way. This may have been in part an intervention outcome as aimed for. The simultaneous increase of the number and the severity of identified problems suggests that this indeed may lead to a better identification and not just to the </w:t>
            </w:r>
            <w:proofErr w:type="spellStart"/>
            <w:r w:rsidRPr="00F91921">
              <w:rPr>
                <w:rFonts w:eastAsia="Times New Roman" w:cs="Times New Roman"/>
                <w:szCs w:val="18"/>
                <w:lang w:val="en-GB" w:eastAsia="nl-NL"/>
              </w:rPr>
              <w:t>labeling</w:t>
            </w:r>
            <w:proofErr w:type="spellEnd"/>
            <w:r w:rsidRPr="00F91921">
              <w:rPr>
                <w:rFonts w:eastAsia="Times New Roman" w:cs="Times New Roman"/>
                <w:szCs w:val="18"/>
                <w:lang w:val="en-GB" w:eastAsia="nl-NL"/>
              </w:rPr>
              <w:t xml:space="preserve"> of more children as having problems.</w:t>
            </w:r>
          </w:p>
        </w:tc>
        <w:tc>
          <w:tcPr>
            <w:tcW w:w="2500" w:type="pct"/>
          </w:tcPr>
          <w:p w:rsidR="00F91921" w:rsidRPr="00F91921" w:rsidRDefault="00F91921" w:rsidP="006F63A1">
            <w:pPr>
              <w:autoSpaceDE w:val="0"/>
              <w:autoSpaceDN w:val="0"/>
              <w:adjustRightInd w:val="0"/>
              <w:snapToGrid w:val="0"/>
              <w:rPr>
                <w:rFonts w:eastAsia="Times New Roman" w:cs="Calibri"/>
                <w:color w:val="000000"/>
                <w:szCs w:val="18"/>
                <w:lang w:val="en-GB"/>
              </w:rPr>
            </w:pPr>
          </w:p>
        </w:tc>
      </w:tr>
      <w:tr w:rsidR="00F91921" w:rsidRPr="00EF1C81" w:rsidTr="004E0B78">
        <w:tc>
          <w:tcPr>
            <w:tcW w:w="5000" w:type="pct"/>
            <w:gridSpan w:val="2"/>
            <w:shd w:val="clear" w:color="auto" w:fill="E7E6E6" w:themeFill="background2"/>
          </w:tcPr>
          <w:p w:rsidR="006B2CA8" w:rsidRDefault="006B2CA8" w:rsidP="006F63A1">
            <w:pPr>
              <w:autoSpaceDE w:val="0"/>
              <w:autoSpaceDN w:val="0"/>
              <w:adjustRightInd w:val="0"/>
              <w:snapToGrid w:val="0"/>
              <w:jc w:val="center"/>
              <w:rPr>
                <w:rFonts w:eastAsia="Times New Roman" w:cs="Times New Roman"/>
                <w:b/>
                <w:szCs w:val="18"/>
                <w:lang w:val="en-GB" w:eastAsia="nl-NL"/>
              </w:rPr>
            </w:pPr>
          </w:p>
          <w:p w:rsidR="00F91921" w:rsidRPr="00F91921" w:rsidRDefault="00F91921" w:rsidP="006F63A1">
            <w:pPr>
              <w:autoSpaceDE w:val="0"/>
              <w:autoSpaceDN w:val="0"/>
              <w:adjustRightInd w:val="0"/>
              <w:snapToGrid w:val="0"/>
              <w:jc w:val="center"/>
              <w:rPr>
                <w:rFonts w:eastAsia="Times New Roman" w:cs="Calibri"/>
                <w:color w:val="000000"/>
                <w:szCs w:val="18"/>
                <w:lang w:val="en-GB"/>
              </w:rPr>
            </w:pPr>
            <w:r w:rsidRPr="00F91921">
              <w:rPr>
                <w:rFonts w:eastAsia="Times New Roman" w:cs="Times New Roman"/>
                <w:b/>
                <w:szCs w:val="18"/>
                <w:lang w:val="en-GB" w:eastAsia="nl-NL"/>
              </w:rPr>
              <w:t>CONCLUSION</w:t>
            </w:r>
          </w:p>
        </w:tc>
      </w:tr>
      <w:tr w:rsidR="00F91921" w:rsidRPr="00762800" w:rsidTr="00FE1548">
        <w:tc>
          <w:tcPr>
            <w:tcW w:w="2500" w:type="pct"/>
          </w:tcPr>
          <w:p w:rsidR="00F91921" w:rsidRPr="00F91921" w:rsidRDefault="00F91921" w:rsidP="006F63A1">
            <w:pPr>
              <w:rPr>
                <w:rFonts w:eastAsia="Times New Roman" w:cs="Times New Roman"/>
                <w:szCs w:val="18"/>
                <w:lang w:val="en-GB" w:eastAsia="nl-NL"/>
              </w:rPr>
            </w:pPr>
            <w:r w:rsidRPr="00F91921">
              <w:rPr>
                <w:rFonts w:eastAsia="Times New Roman" w:cs="Times New Roman"/>
                <w:szCs w:val="18"/>
                <w:lang w:val="en-GB" w:eastAsia="nl-NL"/>
              </w:rPr>
              <w:t>FCC-</w:t>
            </w:r>
            <w:proofErr w:type="spellStart"/>
            <w:r w:rsidRPr="00F91921">
              <w:rPr>
                <w:rFonts w:eastAsia="Times New Roman" w:cs="Times New Roman"/>
                <w:szCs w:val="18"/>
                <w:lang w:val="en-GB" w:eastAsia="nl-NL"/>
              </w:rPr>
              <w:t>JointStart</w:t>
            </w:r>
            <w:proofErr w:type="spellEnd"/>
            <w:r w:rsidRPr="00F91921">
              <w:rPr>
                <w:rFonts w:eastAsia="Times New Roman" w:cs="Times New Roman"/>
                <w:szCs w:val="18"/>
                <w:lang w:val="en-GB" w:eastAsia="nl-NL"/>
              </w:rPr>
              <w:t xml:space="preserve"> may contribute to the identification of more risks at an earlier age, with relatively small effects which, however, apply to all children. Therefore, potential population benefits are rather large. Furthermore, FCC-</w:t>
            </w:r>
            <w:proofErr w:type="spellStart"/>
            <w:r w:rsidRPr="00F91921">
              <w:rPr>
                <w:rFonts w:eastAsia="Times New Roman" w:cs="Times New Roman"/>
                <w:szCs w:val="18"/>
                <w:lang w:val="en-GB" w:eastAsia="nl-NL"/>
              </w:rPr>
              <w:t>JointStart</w:t>
            </w:r>
            <w:proofErr w:type="spellEnd"/>
            <w:r w:rsidRPr="00F91921">
              <w:rPr>
                <w:rFonts w:eastAsia="Times New Roman" w:cs="Times New Roman"/>
                <w:szCs w:val="18"/>
                <w:lang w:val="en-GB" w:eastAsia="nl-NL"/>
              </w:rPr>
              <w:t xml:space="preserve"> also seems to be associated with a better identification of risks for socio-emotional problems and problems that need additional care. Further research is needed to assess whether early identification and intervention improve child health outcomes in the long-term.</w:t>
            </w:r>
          </w:p>
          <w:p w:rsidR="00F91921" w:rsidRPr="00F91921" w:rsidRDefault="00F91921" w:rsidP="006F63A1">
            <w:pPr>
              <w:outlineLvl w:val="2"/>
              <w:rPr>
                <w:rFonts w:eastAsia="Times New Roman" w:cs="Times New Roman"/>
                <w:b/>
                <w:szCs w:val="18"/>
                <w:lang w:val="en-GB" w:eastAsia="nl-NL"/>
              </w:rPr>
            </w:pPr>
          </w:p>
        </w:tc>
        <w:tc>
          <w:tcPr>
            <w:tcW w:w="2500" w:type="pct"/>
          </w:tcPr>
          <w:p w:rsidR="00F91921" w:rsidRPr="00F91921" w:rsidRDefault="00F91921" w:rsidP="006F63A1">
            <w:pPr>
              <w:autoSpaceDE w:val="0"/>
              <w:autoSpaceDN w:val="0"/>
              <w:adjustRightInd w:val="0"/>
              <w:snapToGrid w:val="0"/>
              <w:rPr>
                <w:rFonts w:eastAsia="Times New Roman" w:cs="Calibri"/>
                <w:color w:val="000000"/>
                <w:szCs w:val="18"/>
                <w:lang w:val="en-GB"/>
              </w:rPr>
            </w:pPr>
            <w:r w:rsidRPr="00F91921">
              <w:rPr>
                <w:rFonts w:eastAsia="Times New Roman" w:cs="Calibri"/>
                <w:color w:val="000000"/>
                <w:szCs w:val="18"/>
                <w:lang w:val="en-GB"/>
              </w:rPr>
              <w:t>The results of this study can contribute to children’s social-emotional wellbeing as it provides some important insights in the early identification of risks for this. The family-</w:t>
            </w:r>
            <w:proofErr w:type="spellStart"/>
            <w:r w:rsidRPr="00F91921">
              <w:rPr>
                <w:rFonts w:eastAsia="Times New Roman" w:cs="Calibri"/>
                <w:color w:val="000000"/>
                <w:szCs w:val="18"/>
                <w:lang w:val="en-GB"/>
              </w:rPr>
              <w:t>centered</w:t>
            </w:r>
            <w:proofErr w:type="spellEnd"/>
            <w:r w:rsidRPr="00F91921">
              <w:rPr>
                <w:rFonts w:eastAsia="Times New Roman" w:cs="Calibri"/>
                <w:color w:val="000000"/>
                <w:szCs w:val="18"/>
                <w:lang w:val="en-GB"/>
              </w:rPr>
              <w:t xml:space="preserve"> approach seems to contribute to the identification of more risks at an earlier age. Effects were relatively small, but they apply to all children, thus making potential population effects rather large. Furthermore, the family-</w:t>
            </w:r>
            <w:proofErr w:type="spellStart"/>
            <w:r w:rsidRPr="00F91921">
              <w:rPr>
                <w:rFonts w:eastAsia="Times New Roman" w:cs="Calibri"/>
                <w:color w:val="000000"/>
                <w:szCs w:val="18"/>
                <w:lang w:val="en-GB"/>
              </w:rPr>
              <w:t>centered</w:t>
            </w:r>
            <w:proofErr w:type="spellEnd"/>
            <w:r w:rsidRPr="00F91921">
              <w:rPr>
                <w:rFonts w:eastAsia="Times New Roman" w:cs="Calibri"/>
                <w:color w:val="000000"/>
                <w:szCs w:val="18"/>
                <w:lang w:val="en-GB"/>
              </w:rPr>
              <w:t xml:space="preserve"> approach also seems to be associated with a better identification of risks and problems that need additional care. Further research is needed on whether this indeed improves child health outcomes on the long-term.</w:t>
            </w:r>
          </w:p>
        </w:tc>
      </w:tr>
    </w:tbl>
    <w:p w:rsidR="0001060F" w:rsidRPr="00F91921" w:rsidRDefault="0001060F">
      <w:pPr>
        <w:rPr>
          <w:lang w:val="en-GB"/>
        </w:rPr>
      </w:pPr>
    </w:p>
    <w:p w:rsidR="004C621F" w:rsidRPr="00F91921" w:rsidRDefault="004C621F">
      <w:pPr>
        <w:rPr>
          <w:lang w:val="en-GB"/>
        </w:rPr>
      </w:pPr>
    </w:p>
    <w:sectPr w:rsidR="004C621F" w:rsidRPr="00F91921" w:rsidSect="006B2CA8">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isplayBackgroundShape/>
  <w:mirrorMargins/>
  <w:proofState w:spelling="clean"/>
  <w:revisionView w:inkAnnotations="0"/>
  <w:defaultTabStop w:val="708"/>
  <w:hyphenationZone w:val="425"/>
  <w:characterSpacingControl w:val="doNotCompress"/>
  <w:savePreviewPicture/>
  <w:compat>
    <w:doNotExpandShiftReturn/>
    <w:suppressBottomSpacing/>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21"/>
    <w:rsid w:val="0001060F"/>
    <w:rsid w:val="000404F6"/>
    <w:rsid w:val="00126A4B"/>
    <w:rsid w:val="00277096"/>
    <w:rsid w:val="00283ABC"/>
    <w:rsid w:val="003F22CD"/>
    <w:rsid w:val="00447BE2"/>
    <w:rsid w:val="004C621F"/>
    <w:rsid w:val="004E0B78"/>
    <w:rsid w:val="00515040"/>
    <w:rsid w:val="005B111C"/>
    <w:rsid w:val="005E76EB"/>
    <w:rsid w:val="0067058A"/>
    <w:rsid w:val="006B2CA8"/>
    <w:rsid w:val="006F63A1"/>
    <w:rsid w:val="007D04A1"/>
    <w:rsid w:val="008B1FC0"/>
    <w:rsid w:val="00B86A92"/>
    <w:rsid w:val="00BE1949"/>
    <w:rsid w:val="00E95F9F"/>
    <w:rsid w:val="00F36BA5"/>
    <w:rsid w:val="00F919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85334-6580-474B-8486-053A2E48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1921"/>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0">
    <w:name w:val="Style0"/>
    <w:rsid w:val="00F91921"/>
    <w:rPr>
      <w:rFonts w:ascii="Arial" w:eastAsia="Times New Roman" w:hAnsi="Arial" w:cs="Times New Roman"/>
      <w:snapToGrid w:val="0"/>
      <w:sz w:val="24"/>
      <w:szCs w:val="20"/>
      <w:lang w:eastAsia="nl-NL"/>
    </w:rPr>
  </w:style>
  <w:style w:type="table" w:styleId="Tabelraster">
    <w:name w:val="Table Grid"/>
    <w:basedOn w:val="Standaardtabel"/>
    <w:uiPriority w:val="39"/>
    <w:rsid w:val="00F91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Stewart%20RE%5BAuthor%5D&amp;cauthor=true&amp;cauthor_uid=29267270" TargetMode="External"/><Relationship Id="rId3" Type="http://schemas.openxmlformats.org/officeDocument/2006/relationships/settings" Target="settings.xml"/><Relationship Id="rId7" Type="http://schemas.openxmlformats.org/officeDocument/2006/relationships/hyperlink" Target="https://www.ncbi.nlm.nih.gov/pubmed/?term=Hielkema%20M%5BAuthor%5D&amp;cauthor=true&amp;cauthor_uid=2926727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cbi.nlm.nih.gov/pubmed/?term=Reijneveld%20SA%5BAuthor%5D&amp;cauthor=true&amp;cauthor_uid=29267270" TargetMode="External"/><Relationship Id="rId11" Type="http://schemas.openxmlformats.org/officeDocument/2006/relationships/theme" Target="theme/theme1.xml"/><Relationship Id="rId5" Type="http://schemas.openxmlformats.org/officeDocument/2006/relationships/hyperlink" Target="https://www.ncbi.nlm.nih.gov/pmc/articles/PMC573940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ubmed/?term=de%20Winter%20AF%5BAuthor%5D&amp;cauthor=true&amp;cauthor_uid=2926727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7B80F-B4CF-4FD5-8A3A-9D99537C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1077</Words>
  <Characters>5929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Wiegersma</dc:creator>
  <cp:keywords/>
  <dc:description/>
  <cp:lastModifiedBy>P.A. Wiegersma</cp:lastModifiedBy>
  <cp:revision>1</cp:revision>
  <dcterms:created xsi:type="dcterms:W3CDTF">2020-11-17T14:10:00Z</dcterms:created>
  <dcterms:modified xsi:type="dcterms:W3CDTF">2020-11-17T14:40:00Z</dcterms:modified>
</cp:coreProperties>
</file>