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28" w:rsidRDefault="008A0428" w:rsidP="008A0428">
      <w:pPr>
        <w:spacing w:line="259" w:lineRule="auto"/>
        <w:jc w:val="center"/>
        <w:rPr>
          <w:b/>
          <w:i/>
          <w:sz w:val="24"/>
        </w:rPr>
      </w:pPr>
      <w:r w:rsidRPr="001A6D9F">
        <w:rPr>
          <w:b/>
          <w:i/>
          <w:sz w:val="24"/>
        </w:rPr>
        <w:t xml:space="preserve">Analyse JGZ-gegevens Basisgezondheidsdienst West en Noord Groningen (BaGD </w:t>
      </w:r>
      <w:proofErr w:type="spellStart"/>
      <w:r w:rsidRPr="001A6D9F">
        <w:rPr>
          <w:b/>
          <w:i/>
          <w:sz w:val="24"/>
        </w:rPr>
        <w:t>W&amp;NG</w:t>
      </w:r>
      <w:proofErr w:type="spellEnd"/>
      <w:r w:rsidRPr="001A6D9F">
        <w:rPr>
          <w:b/>
          <w:i/>
          <w:sz w:val="24"/>
        </w:rPr>
        <w:t>) 1989-1990</w:t>
      </w:r>
    </w:p>
    <w:p w:rsidR="008A0428" w:rsidRPr="00067D9E" w:rsidRDefault="008A0428" w:rsidP="008A0428">
      <w:pPr>
        <w:spacing w:before="120"/>
        <w:rPr>
          <w:noProof/>
          <w:szCs w:val="18"/>
        </w:rPr>
      </w:pPr>
      <w:r w:rsidRPr="00067D9E">
        <w:rPr>
          <w:noProof/>
          <w:szCs w:val="18"/>
        </w:rPr>
        <w:softHyphen/>
        <w:t>Voor de analyse is alleen gebruik gemaakt van de gegevens over verwijzingen naar de huisarts na PGO van de jeugdarts, of verpleegkundige (PVO) of hercontroles. Verwijzing</w:t>
      </w:r>
      <w:r w:rsidRPr="00067D9E">
        <w:rPr>
          <w:noProof/>
          <w:szCs w:val="18"/>
        </w:rPr>
        <w:softHyphen/>
        <w:t>en anders dan naar de huisarts betroffen vooral verwijzingen van verpleegkundige of dokt</w:t>
      </w:r>
      <w:r>
        <w:rPr>
          <w:noProof/>
          <w:szCs w:val="18"/>
        </w:rPr>
        <w:t xml:space="preserve">ersassistente naar de jeugdarts </w:t>
      </w:r>
      <w:r w:rsidRPr="00067D9E">
        <w:rPr>
          <w:noProof/>
          <w:szCs w:val="18"/>
        </w:rPr>
        <w:t>of verwijzingen naar de logopedisten van de GGD.</w:t>
      </w:r>
    </w:p>
    <w:p w:rsidR="008A0428" w:rsidRDefault="008A0428" w:rsidP="008A0428">
      <w:pPr>
        <w:rPr>
          <w:noProof/>
          <w:szCs w:val="18"/>
        </w:rPr>
      </w:pPr>
      <w:r w:rsidRPr="00067D9E">
        <w:rPr>
          <w:noProof/>
          <w:szCs w:val="18"/>
        </w:rPr>
        <w:t xml:space="preserve">Bij de berekeningen is een onderscheid gemaakt tussen </w:t>
      </w:r>
    </w:p>
    <w:p w:rsidR="008A0428" w:rsidRDefault="008A0428" w:rsidP="008A0428">
      <w:pPr>
        <w:rPr>
          <w:noProof/>
          <w:szCs w:val="18"/>
        </w:rPr>
      </w:pPr>
      <w:r>
        <w:rPr>
          <w:noProof/>
          <w:szCs w:val="18"/>
        </w:rPr>
        <w:t xml:space="preserve">   (1) </w:t>
      </w:r>
      <w:r w:rsidRPr="00067D9E">
        <w:rPr>
          <w:noProof/>
          <w:szCs w:val="18"/>
        </w:rPr>
        <w:t>afwijkingen die hetzij middels de screeningen zouden zijn ontdekt, hetzij anderszins zeker tot een consult bij de huisarts hadden geleid</w:t>
      </w:r>
      <w:r w:rsidRPr="009652C6">
        <w:rPr>
          <w:noProof/>
          <w:position w:val="6"/>
          <w:szCs w:val="18"/>
          <w:vertAlign w:val="superscript"/>
        </w:rPr>
        <w:footnoteReference w:id="1"/>
      </w:r>
      <w:r>
        <w:rPr>
          <w:noProof/>
          <w:szCs w:val="18"/>
        </w:rPr>
        <w:t xml:space="preserve"> </w:t>
      </w:r>
      <w:r w:rsidRPr="00067D9E">
        <w:rPr>
          <w:noProof/>
          <w:szCs w:val="18"/>
        </w:rPr>
        <w:t xml:space="preserve">en </w:t>
      </w:r>
    </w:p>
    <w:p w:rsidR="008A0428" w:rsidRDefault="008A0428" w:rsidP="008A0428">
      <w:pPr>
        <w:rPr>
          <w:noProof/>
          <w:szCs w:val="18"/>
        </w:rPr>
      </w:pPr>
      <w:r>
        <w:rPr>
          <w:noProof/>
          <w:szCs w:val="18"/>
        </w:rPr>
        <w:t xml:space="preserve">   (2) </w:t>
      </w:r>
      <w:r w:rsidRPr="00067D9E">
        <w:rPr>
          <w:noProof/>
          <w:szCs w:val="18"/>
        </w:rPr>
        <w:t xml:space="preserve">afwijkingen die </w:t>
      </w:r>
      <w:r w:rsidRPr="00067D9E">
        <w:rPr>
          <w:i/>
          <w:noProof/>
          <w:szCs w:val="18"/>
        </w:rPr>
        <w:t>mogelijk</w:t>
      </w:r>
      <w:r w:rsidRPr="00067D9E">
        <w:rPr>
          <w:noProof/>
          <w:szCs w:val="18"/>
        </w:rPr>
        <w:t xml:space="preserve"> in aanmerking zouden komen voor verwijzing naar de huisarts en die door tussenkomst van de jeugdarts dus eerder onder zijn of haar aandacht worden gebracht. </w:t>
      </w:r>
    </w:p>
    <w:p w:rsidR="008A0428" w:rsidRPr="00067D9E" w:rsidRDefault="008A0428" w:rsidP="008A0428">
      <w:pPr>
        <w:rPr>
          <w:noProof/>
          <w:szCs w:val="18"/>
        </w:rPr>
      </w:pPr>
      <w:r w:rsidRPr="00067D9E">
        <w:rPr>
          <w:noProof/>
          <w:szCs w:val="18"/>
        </w:rPr>
        <w:t>Bevinding</w:t>
      </w:r>
      <w:r w:rsidRPr="00067D9E">
        <w:rPr>
          <w:noProof/>
          <w:szCs w:val="18"/>
        </w:rPr>
        <w:softHyphen/>
        <w:t>en die liggen op het vlak van psychosociale problematiek zijn niet meegerekend omdat uit onderzoek blijkt dat leerkrachten heel goed en zelfs beter in staat zijn dit type problemen te signaleren en hierop passende actie te ondernemen.</w:t>
      </w:r>
      <w:r w:rsidRPr="009652C6">
        <w:rPr>
          <w:noProof/>
          <w:position w:val="6"/>
          <w:szCs w:val="18"/>
          <w:vertAlign w:val="superscript"/>
        </w:rPr>
        <w:footnoteReference w:id="2"/>
      </w:r>
      <w:r w:rsidRPr="00067D9E">
        <w:rPr>
          <w:noProof/>
          <w:szCs w:val="18"/>
        </w:rPr>
        <w:t xml:space="preserve"> Overigens betreft dit slechts 8 </w:t>
      </w:r>
      <w:r>
        <w:rPr>
          <w:noProof/>
          <w:szCs w:val="18"/>
        </w:rPr>
        <w:t>B</w:t>
      </w:r>
      <w:r w:rsidRPr="00067D9E">
        <w:rPr>
          <w:noProof/>
          <w:szCs w:val="18"/>
        </w:rPr>
        <w:t>asisschoolleerlingen (0,1%) en 5 leerlingen van het Voortgezet Onderwijs (0,3%).</w:t>
      </w:r>
    </w:p>
    <w:p w:rsidR="008A0428" w:rsidRPr="00067D9E" w:rsidRDefault="008A0428" w:rsidP="008A0428">
      <w:pPr>
        <w:rPr>
          <w:b/>
          <w:noProof/>
          <w:szCs w:val="18"/>
        </w:rPr>
      </w:pPr>
    </w:p>
    <w:p w:rsidR="008A0428" w:rsidRPr="00067D9E" w:rsidRDefault="008A0428" w:rsidP="008A0428">
      <w:pPr>
        <w:rPr>
          <w:b/>
          <w:noProof/>
          <w:szCs w:val="18"/>
        </w:rPr>
      </w:pPr>
      <w:r w:rsidRPr="00067D9E">
        <w:rPr>
          <w:b/>
          <w:noProof/>
          <w:szCs w:val="18"/>
        </w:rPr>
        <w:t>Resultaten</w:t>
      </w:r>
    </w:p>
    <w:p w:rsidR="008A0428" w:rsidRPr="00067D9E" w:rsidRDefault="008A0428" w:rsidP="008A0428">
      <w:pPr>
        <w:rPr>
          <w:noProof/>
          <w:szCs w:val="18"/>
        </w:rPr>
      </w:pPr>
      <w:r w:rsidRPr="00067D9E">
        <w:rPr>
          <w:noProof/>
          <w:szCs w:val="18"/>
        </w:rPr>
        <w:t xml:space="preserve">Bij het Basisonderwijs </w:t>
      </w:r>
      <w:r>
        <w:rPr>
          <w:noProof/>
          <w:szCs w:val="18"/>
        </w:rPr>
        <w:t xml:space="preserve">(BaO) </w:t>
      </w:r>
      <w:r w:rsidRPr="00067D9E">
        <w:rPr>
          <w:noProof/>
          <w:szCs w:val="18"/>
        </w:rPr>
        <w:t xml:space="preserve">betreft het aantal verwijzingen in totaal 85 leerlingen van de 7104 die op deze wijze zijn onderzocht en bij het </w:t>
      </w:r>
      <w:r>
        <w:rPr>
          <w:noProof/>
          <w:szCs w:val="18"/>
        </w:rPr>
        <w:t>Voortgezet Onderwijs</w:t>
      </w:r>
      <w:r w:rsidRPr="00067D9E">
        <w:rPr>
          <w:noProof/>
          <w:szCs w:val="18"/>
        </w:rPr>
        <w:t xml:space="preserve"> </w:t>
      </w:r>
      <w:r>
        <w:rPr>
          <w:noProof/>
          <w:szCs w:val="18"/>
        </w:rPr>
        <w:t xml:space="preserve">(VO) </w:t>
      </w:r>
      <w:r w:rsidRPr="00067D9E">
        <w:rPr>
          <w:noProof/>
          <w:szCs w:val="18"/>
        </w:rPr>
        <w:t>41 van de 1841 leerlingen (tabel 1).</w:t>
      </w:r>
    </w:p>
    <w:p w:rsidR="008A0428" w:rsidRPr="00067D9E" w:rsidRDefault="008A0428" w:rsidP="008A0428">
      <w:pPr>
        <w:rPr>
          <w:noProof/>
          <w:szCs w:val="18"/>
        </w:rPr>
      </w:pPr>
      <w:r w:rsidRPr="00067D9E">
        <w:rPr>
          <w:noProof/>
          <w:szCs w:val="18"/>
        </w:rPr>
        <w:t>De redenen voor hercontrole waren in wezen niet anders dan die voor verwijzingen</w:t>
      </w:r>
      <w:r>
        <w:rPr>
          <w:noProof/>
          <w:szCs w:val="18"/>
        </w:rPr>
        <w:t xml:space="preserve">. Wel lag daarbij de nadruk uiteraard meer </w:t>
      </w:r>
      <w:r w:rsidRPr="00067D9E">
        <w:rPr>
          <w:noProof/>
          <w:szCs w:val="18"/>
        </w:rPr>
        <w:t>op afwijkingen van ogen, gehoor en houding</w:t>
      </w:r>
      <w:r>
        <w:rPr>
          <w:noProof/>
          <w:szCs w:val="18"/>
        </w:rPr>
        <w:t xml:space="preserve">. Bij </w:t>
      </w:r>
      <w:r w:rsidRPr="00067D9E">
        <w:rPr>
          <w:noProof/>
          <w:szCs w:val="18"/>
        </w:rPr>
        <w:t>verwijzing</w:t>
      </w:r>
      <w:r>
        <w:rPr>
          <w:noProof/>
          <w:szCs w:val="18"/>
        </w:rPr>
        <w:t>en waren de redenen meestal van een andere orde (zie tabel 1 en 2)</w:t>
      </w:r>
      <w:r w:rsidRPr="00067D9E">
        <w:rPr>
          <w:noProof/>
          <w:szCs w:val="18"/>
        </w:rPr>
        <w:t>.</w:t>
      </w:r>
    </w:p>
    <w:p w:rsidR="008A0428" w:rsidRPr="00067D9E" w:rsidRDefault="008A0428" w:rsidP="008A0428">
      <w:pPr>
        <w:rPr>
          <w:noProof/>
          <w:szCs w:val="18"/>
        </w:rPr>
      </w:pPr>
      <w:r w:rsidRPr="00067D9E">
        <w:rPr>
          <w:noProof/>
          <w:szCs w:val="18"/>
        </w:rPr>
        <w:t xml:space="preserve">De redenen voor verwijzing in de categorie ‘overigen’ zijn uiterst divers, maar in het Basisonderwijs gaat het in bijna de helft van de gevallen (45%) om problemen rond de genitalia externa en bedplassen. </w:t>
      </w:r>
      <w:r>
        <w:rPr>
          <w:noProof/>
          <w:szCs w:val="18"/>
        </w:rPr>
        <w:t>D</w:t>
      </w:r>
      <w:r w:rsidRPr="00067D9E">
        <w:rPr>
          <w:noProof/>
          <w:szCs w:val="18"/>
        </w:rPr>
        <w:t xml:space="preserve">eze afwijkingen </w:t>
      </w:r>
      <w:r>
        <w:rPr>
          <w:noProof/>
          <w:szCs w:val="18"/>
        </w:rPr>
        <w:t xml:space="preserve">zouden in de meeste gevallen vanwege hun aard </w:t>
      </w:r>
      <w:r w:rsidRPr="00067D9E">
        <w:rPr>
          <w:noProof/>
          <w:szCs w:val="18"/>
        </w:rPr>
        <w:t xml:space="preserve">ook zonder tussenkomst van de jeugdarts tot een consult bij de huisarts </w:t>
      </w:r>
      <w:r>
        <w:rPr>
          <w:noProof/>
          <w:szCs w:val="18"/>
        </w:rPr>
        <w:t xml:space="preserve">hebben </w:t>
      </w:r>
      <w:r w:rsidRPr="00067D9E">
        <w:rPr>
          <w:noProof/>
          <w:szCs w:val="18"/>
        </w:rPr>
        <w:t>geleid. De overige afwijkingen waren: afwijkende lengtegroei, hoofdpijn, buikpijn, afwijkingen aan huid en/of haren, allergie, afwijkingen aan hals/nek (thyreoid), mogelijk pathologi</w:t>
      </w:r>
      <w:r w:rsidRPr="00067D9E">
        <w:rPr>
          <w:noProof/>
          <w:szCs w:val="18"/>
        </w:rPr>
        <w:softHyphen/>
        <w:t xml:space="preserve">sche souffle, afwijkingen aan lagere luchtwegen, buikaandoening en mogelijke systeemaandoening. </w:t>
      </w:r>
    </w:p>
    <w:p w:rsidR="008A0428" w:rsidRPr="00067D9E" w:rsidRDefault="008A0428" w:rsidP="008A0428">
      <w:pPr>
        <w:rPr>
          <w:noProof/>
          <w:szCs w:val="18"/>
        </w:rPr>
      </w:pPr>
      <w:r w:rsidRPr="00067D9E">
        <w:rPr>
          <w:noProof/>
          <w:szCs w:val="18"/>
        </w:rPr>
        <w:t xml:space="preserve">Bij elk van deze gevonden afwijkingen is een discussie mogelijk over ten eerste de juistheid van de verwijzing en ten tweede over de noodzaak van een tussenkomst van de jeugdarts teneinde een consult bij de huisarts te bewerkstelligen. Daarnaast </w:t>
      </w:r>
      <w:r>
        <w:rPr>
          <w:noProof/>
          <w:szCs w:val="18"/>
        </w:rPr>
        <w:t xml:space="preserve">bleek uit een aparte analyse van de verwijzingen dat </w:t>
      </w:r>
      <w:r w:rsidRPr="00067D9E">
        <w:rPr>
          <w:noProof/>
          <w:szCs w:val="18"/>
        </w:rPr>
        <w:t>in een groot aantal van de gevallen de huisarts niet tot e</w:t>
      </w:r>
      <w:r>
        <w:rPr>
          <w:noProof/>
          <w:szCs w:val="18"/>
        </w:rPr>
        <w:t>en curatieve interventie overging. Redenen daarvoor waren</w:t>
      </w:r>
      <w:r w:rsidRPr="00067D9E">
        <w:rPr>
          <w:noProof/>
          <w:szCs w:val="18"/>
        </w:rPr>
        <w:t xml:space="preserve"> </w:t>
      </w:r>
      <w:r>
        <w:rPr>
          <w:noProof/>
          <w:szCs w:val="18"/>
        </w:rPr>
        <w:t>d</w:t>
      </w:r>
      <w:r w:rsidRPr="00067D9E">
        <w:rPr>
          <w:noProof/>
          <w:szCs w:val="18"/>
        </w:rPr>
        <w:t>at zij</w:t>
      </w:r>
      <w:r>
        <w:rPr>
          <w:noProof/>
          <w:szCs w:val="18"/>
        </w:rPr>
        <w:t>n/haar diagnose niet overeenkwam</w:t>
      </w:r>
      <w:r w:rsidRPr="00067D9E">
        <w:rPr>
          <w:noProof/>
          <w:szCs w:val="18"/>
        </w:rPr>
        <w:t xml:space="preserve"> met die van de jeugdarts, </w:t>
      </w:r>
      <w:r>
        <w:rPr>
          <w:noProof/>
          <w:szCs w:val="18"/>
        </w:rPr>
        <w:t xml:space="preserve">of </w:t>
      </w:r>
      <w:r w:rsidRPr="00067D9E">
        <w:rPr>
          <w:noProof/>
          <w:szCs w:val="18"/>
        </w:rPr>
        <w:t xml:space="preserve">omdat de ernst van de afwijking anders door hem of haar wordt ingeschat. </w:t>
      </w:r>
      <w:r>
        <w:rPr>
          <w:noProof/>
          <w:szCs w:val="18"/>
        </w:rPr>
        <w:t>Ook gingen</w:t>
      </w:r>
      <w:r w:rsidRPr="00067D9E">
        <w:rPr>
          <w:noProof/>
          <w:szCs w:val="18"/>
        </w:rPr>
        <w:t xml:space="preserve"> ouders </w:t>
      </w:r>
      <w:r>
        <w:rPr>
          <w:noProof/>
          <w:szCs w:val="18"/>
        </w:rPr>
        <w:t xml:space="preserve">ook toen al </w:t>
      </w:r>
      <w:r w:rsidRPr="00067D9E">
        <w:rPr>
          <w:noProof/>
          <w:szCs w:val="18"/>
        </w:rPr>
        <w:t>sneller met hun kind naar de huisarts da</w:t>
      </w:r>
      <w:r>
        <w:rPr>
          <w:noProof/>
          <w:szCs w:val="18"/>
        </w:rPr>
        <w:t xml:space="preserve">n dat dat vroeger het geval was. </w:t>
      </w:r>
      <w:r>
        <w:rPr>
          <w:noProof/>
          <w:szCs w:val="18"/>
        </w:rPr>
        <w:lastRenderedPageBreak/>
        <w:t xml:space="preserve">Ook </w:t>
      </w:r>
      <w:r w:rsidRPr="00067D9E">
        <w:rPr>
          <w:noProof/>
          <w:szCs w:val="18"/>
        </w:rPr>
        <w:t xml:space="preserve">wat dat betreft </w:t>
      </w:r>
      <w:r>
        <w:rPr>
          <w:noProof/>
          <w:szCs w:val="18"/>
        </w:rPr>
        <w:t xml:space="preserve">kan </w:t>
      </w:r>
      <w:r w:rsidRPr="00067D9E">
        <w:rPr>
          <w:noProof/>
          <w:szCs w:val="18"/>
        </w:rPr>
        <w:t xml:space="preserve">de rol van de jeugdarts als noodzakelijke intermediair </w:t>
      </w:r>
      <w:r>
        <w:rPr>
          <w:noProof/>
          <w:szCs w:val="18"/>
        </w:rPr>
        <w:t xml:space="preserve">dus </w:t>
      </w:r>
      <w:r w:rsidRPr="00067D9E">
        <w:rPr>
          <w:noProof/>
          <w:szCs w:val="18"/>
        </w:rPr>
        <w:t>een discussiepunt worden genoemd.</w:t>
      </w:r>
    </w:p>
    <w:p w:rsidR="008A0428" w:rsidRPr="00067D9E" w:rsidRDefault="008A0428" w:rsidP="008A0428">
      <w:pPr>
        <w:rPr>
          <w:noProof/>
          <w:szCs w:val="18"/>
        </w:rPr>
      </w:pPr>
      <w:r w:rsidRPr="00067D9E">
        <w:rPr>
          <w:noProof/>
          <w:szCs w:val="18"/>
        </w:rPr>
        <w:t>Bij het Voortgezet Onderwijs is behoudens afwijkingen aan de huid (veelal acne: 0,5%) geen groep verwij</w:t>
      </w:r>
      <w:r w:rsidRPr="00067D9E">
        <w:rPr>
          <w:noProof/>
          <w:szCs w:val="18"/>
        </w:rPr>
        <w:softHyphen/>
        <w:t>zingsredenen aan te geven die er duidelijk uitspringt. Het betreft de volgende afwijkingen: afwijkende lengtegroei, allergie, moeheid, mogelijk pathologische souffle, afwijkingen aan de lagere luchtwegen, buikaandoening, afwijkingen aan de genitalia externa, maldescensus, phimosis, enuresis, psychosomati</w:t>
      </w:r>
      <w:r w:rsidRPr="00067D9E">
        <w:rPr>
          <w:noProof/>
          <w:szCs w:val="18"/>
        </w:rPr>
        <w:softHyphen/>
        <w:t>sche klachten en menstruatieklachten.</w:t>
      </w:r>
    </w:p>
    <w:p w:rsidR="008A0428" w:rsidRPr="00067D9E" w:rsidRDefault="008A0428" w:rsidP="008A0428">
      <w:pPr>
        <w:rPr>
          <w:noProof/>
          <w:szCs w:val="18"/>
        </w:rPr>
      </w:pPr>
      <w:r w:rsidRPr="00067D9E">
        <w:rPr>
          <w:noProof/>
          <w:szCs w:val="18"/>
        </w:rPr>
        <w:t>Ook voor deze afwijkingen geldt hetzelfde als gesteld voor die welke werden gevonden bij leerlingen van het Basisonderwijs. Vanwege het feit, dat het hier oudere leerlingen betreft, is het zelfs in de meeste gevallen zo, dat het verwijzingen betreft die tot doel hebben de huisarts een controle-moment te laten invoegen </w:t>
      </w:r>
      <w:r w:rsidRPr="00067D9E">
        <w:rPr>
          <w:noProof/>
          <w:szCs w:val="18"/>
        </w:rPr>
        <w:noBreakHyphen/>
        <w:t> de meeste van de gevonden afwijkingen zijn inmiddels bekend, maar vaak gedurende langere tijd niet door de huisarts gecontroleerd. Daarbij komt dat in veel gevallen de leeftijd van de leerling vanwege de aard van de afwijkingen een (curatieve) interventie niet of slecht mogelijk maakt.</w:t>
      </w:r>
    </w:p>
    <w:p w:rsidR="008A0428" w:rsidRDefault="008A0428" w:rsidP="008A0428">
      <w:pPr>
        <w:rPr>
          <w:noProof/>
          <w:szCs w:val="18"/>
        </w:rPr>
      </w:pPr>
    </w:p>
    <w:p w:rsidR="008A0428" w:rsidRPr="00067D9E" w:rsidRDefault="008A0428" w:rsidP="008A0428">
      <w:pPr>
        <w:rPr>
          <w:noProof/>
          <w:szCs w:val="18"/>
        </w:rPr>
      </w:pPr>
      <w:r w:rsidRPr="00067D9E">
        <w:rPr>
          <w:noProof/>
          <w:szCs w:val="18"/>
        </w:rPr>
        <w:t xml:space="preserve">Al met al kan gesteld worden dat circa 1,4% van de met PGO’s en hercontroles onderzochte populatie (127 van de totaal 8945 leerlingen) </w:t>
      </w:r>
      <w:r w:rsidRPr="00067D9E">
        <w:rPr>
          <w:i/>
          <w:noProof/>
          <w:szCs w:val="18"/>
        </w:rPr>
        <w:t>mogelijk</w:t>
      </w:r>
      <w:r w:rsidRPr="00067D9E">
        <w:rPr>
          <w:noProof/>
          <w:szCs w:val="18"/>
        </w:rPr>
        <w:t xml:space="preserve"> een afwijking h</w:t>
      </w:r>
      <w:r>
        <w:rPr>
          <w:noProof/>
          <w:szCs w:val="18"/>
        </w:rPr>
        <w:t>ad</w:t>
      </w:r>
      <w:r w:rsidRPr="00067D9E">
        <w:rPr>
          <w:noProof/>
          <w:szCs w:val="18"/>
        </w:rPr>
        <w:t>, die in aanmerking k</w:t>
      </w:r>
      <w:r>
        <w:rPr>
          <w:noProof/>
          <w:szCs w:val="18"/>
        </w:rPr>
        <w:t>o</w:t>
      </w:r>
      <w:r w:rsidRPr="00067D9E">
        <w:rPr>
          <w:noProof/>
          <w:szCs w:val="18"/>
        </w:rPr>
        <w:t>n komen voor extra aandacht van en/of gerichte interventie door de huisarts en die in het extreme geval enkel en alleen met behulp van PGO’s en PVO’s en bijbehorende hercontroles konden worden ontdekt (</w:t>
      </w:r>
      <w:r>
        <w:rPr>
          <w:noProof/>
          <w:szCs w:val="18"/>
        </w:rPr>
        <w:t xml:space="preserve">zie </w:t>
      </w:r>
      <w:r w:rsidRPr="00067D9E">
        <w:rPr>
          <w:noProof/>
          <w:szCs w:val="18"/>
        </w:rPr>
        <w:t>tabel 1).</w:t>
      </w:r>
    </w:p>
    <w:p w:rsidR="008A0428" w:rsidRPr="00067D9E" w:rsidRDefault="008A0428" w:rsidP="008A0428">
      <w:pPr>
        <w:rPr>
          <w:noProof/>
          <w:szCs w:val="18"/>
        </w:rPr>
      </w:pPr>
      <w:r w:rsidRPr="00067D9E">
        <w:rPr>
          <w:noProof/>
          <w:szCs w:val="18"/>
        </w:rPr>
        <w:t>Wanneer gekeken wordt naar de totale populatie die op enigerlei wijze in aanraking is gekomen met medewerkers van de JGZ (totale aantal 13.196 leerlingen), dan blijkt iets meer dan 0,1% verwezen te zijn op deze basis. Zoals hierboven aangegeven zal het percentage waarvoor het werkelijk noodzakelijk was dat zij door een medewerker van de JGZ middels een PGO werden onderzocht, hier beduidend onder liggen.</w:t>
      </w:r>
    </w:p>
    <w:p w:rsidR="008A0428" w:rsidRPr="00067D9E" w:rsidRDefault="008A0428" w:rsidP="008A0428">
      <w:pPr>
        <w:rPr>
          <w:noProof/>
          <w:szCs w:val="18"/>
        </w:rPr>
      </w:pPr>
      <w:r w:rsidRPr="00067D9E">
        <w:rPr>
          <w:noProof/>
          <w:szCs w:val="18"/>
        </w:rPr>
        <w:t>Vermeldenswaardig is verder dat ruim 8% van de verwijzingen volgt uit een aanvraag tot onderzoek vanuit ouder, leerling, school of anderszins en dat iets minder dan 4% het gevolg is van een onderzoek en/of gesprek dat tijdens een spreekuur is gehouden. Dit is van belang omdat de tijd die vrij komt vanwege de minder omvangrijke activiteiten op het gebied van de periodieke onderzoeken, k</w:t>
      </w:r>
      <w:r>
        <w:rPr>
          <w:noProof/>
          <w:szCs w:val="18"/>
        </w:rPr>
        <w:t>o</w:t>
      </w:r>
      <w:r w:rsidRPr="00067D9E">
        <w:rPr>
          <w:noProof/>
          <w:szCs w:val="18"/>
        </w:rPr>
        <w:t>n worden geïnves</w:t>
      </w:r>
      <w:r w:rsidRPr="00067D9E">
        <w:rPr>
          <w:noProof/>
          <w:szCs w:val="18"/>
        </w:rPr>
        <w:softHyphen/>
        <w:t>teerd in het opzetten van reguliere spreekuren op Basis- en Voortgezet Onderwijs en een vergrote inspan</w:t>
      </w:r>
      <w:r w:rsidRPr="00067D9E">
        <w:rPr>
          <w:noProof/>
          <w:szCs w:val="18"/>
        </w:rPr>
        <w:softHyphen/>
        <w:t>ning ten behoeve van de toegankelijkheid van de Jeugdgezondheidszorg (bijvoorbeeld de telefonische spreekuren).</w:t>
      </w:r>
      <w:r w:rsidR="00592975">
        <w:rPr>
          <w:noProof/>
          <w:szCs w:val="18"/>
        </w:rPr>
        <w:t xml:space="preserve"> </w:t>
      </w:r>
      <w:r w:rsidR="00592975">
        <w:rPr>
          <w:noProof/>
          <w:szCs w:val="18"/>
        </w:rPr>
        <w:t>Ook werden door VP’s op scholen tijdens ouderavonden over allerlei onderwerpen voorlichtingspraatjes georganiseerd.</w:t>
      </w:r>
      <w:bookmarkStart w:id="0" w:name="_GoBack"/>
      <w:bookmarkEnd w:id="0"/>
    </w:p>
    <w:p w:rsidR="008A0428" w:rsidRPr="00067D9E" w:rsidRDefault="008A0428" w:rsidP="008A0428">
      <w:pPr>
        <w:rPr>
          <w:noProof/>
          <w:szCs w:val="18"/>
        </w:rPr>
      </w:pPr>
      <w:r w:rsidRPr="00067D9E">
        <w:rPr>
          <w:noProof/>
          <w:szCs w:val="18"/>
        </w:rPr>
        <w:t>Daarnaast is bijvoorbeeld het feit dat leerlingen uit een-oudergezinnen vaker verwezen worden (van alle verwijzingen resp. 2,9% tegen 1,8% bij twee-oudergezinnen) een verdere ondersteuning van de doelgroep</w:t>
      </w:r>
      <w:r w:rsidRPr="00067D9E">
        <w:rPr>
          <w:noProof/>
          <w:szCs w:val="18"/>
        </w:rPr>
        <w:softHyphen/>
        <w:t>gerichte benadering</w:t>
      </w:r>
      <w:r>
        <w:rPr>
          <w:noProof/>
          <w:szCs w:val="18"/>
        </w:rPr>
        <w:t>, zoals toegepast bij de eerdergenoemde 70-30-regel</w:t>
      </w:r>
      <w:r w:rsidRPr="00067D9E">
        <w:rPr>
          <w:noProof/>
          <w:szCs w:val="18"/>
        </w:rPr>
        <w:t>.</w:t>
      </w:r>
    </w:p>
    <w:p w:rsidR="008A0428" w:rsidRDefault="008A0428" w:rsidP="008A0428">
      <w:pPr>
        <w:rPr>
          <w:noProof/>
          <w:szCs w:val="18"/>
        </w:rPr>
      </w:pPr>
      <w:r w:rsidRPr="00067D9E">
        <w:rPr>
          <w:noProof/>
          <w:szCs w:val="18"/>
        </w:rPr>
        <w:t>In tabel 2 wordt een overzicht gegeven van de redenen tot verwijzing naar de huisarts na contact met een JGZ-medewerker. Het betreft nu dus alle contacten en niet alleen de PGO’s, en hercontroles. De verwij</w:t>
      </w:r>
      <w:r w:rsidRPr="00067D9E">
        <w:rPr>
          <w:noProof/>
          <w:szCs w:val="18"/>
        </w:rPr>
        <w:softHyphen/>
        <w:t xml:space="preserve">zingsredenen zijn onderverdeeld in die welke naar alle waarschijnlijkheid vanzelf tot een consult bij de huisarts hadden geleid, die welke zouden zijn opgespoord middels de bij de huidige werkwijze nog gehanteerde screeningen, die welke door de school, i.c. leerkracht of leerlingbegeleider zouden zijn gesignaleerd en de restgroep ‘overigen’. In de kolom ‘onduidelijk’ </w:t>
      </w:r>
      <w:r w:rsidRPr="00067D9E">
        <w:rPr>
          <w:noProof/>
          <w:szCs w:val="18"/>
        </w:rPr>
        <w:lastRenderedPageBreak/>
        <w:t>worden de verwijzingsredenen aangege</w:t>
      </w:r>
      <w:r w:rsidRPr="00067D9E">
        <w:rPr>
          <w:noProof/>
          <w:szCs w:val="18"/>
        </w:rPr>
        <w:softHyphen/>
        <w:t xml:space="preserve">ven  die </w:t>
      </w:r>
      <w:r w:rsidRPr="00067D9E">
        <w:rPr>
          <w:i/>
          <w:noProof/>
          <w:szCs w:val="18"/>
        </w:rPr>
        <w:t>mogelijk</w:t>
      </w:r>
      <w:r w:rsidRPr="00067D9E">
        <w:rPr>
          <w:noProof/>
          <w:szCs w:val="18"/>
        </w:rPr>
        <w:t xml:space="preserve"> met recht individueel zijn benaderd: 8 van de 290 verwijzingen (2,8%). </w:t>
      </w:r>
    </w:p>
    <w:p w:rsidR="008A0428" w:rsidRPr="00F906CA" w:rsidRDefault="008A0428" w:rsidP="008A0428">
      <w:pPr>
        <w:rPr>
          <w:sz w:val="16"/>
        </w:rPr>
      </w:pPr>
    </w:p>
    <w:p w:rsidR="008A0428" w:rsidRPr="00F906CA" w:rsidRDefault="008A0428" w:rsidP="008A0428">
      <w:pPr>
        <w:rPr>
          <w:i/>
          <w:sz w:val="16"/>
        </w:rPr>
      </w:pPr>
      <w:r w:rsidRPr="00F906CA">
        <w:rPr>
          <w:i/>
          <w:sz w:val="16"/>
        </w:rPr>
        <w:t xml:space="preserve">Tabel 1. Resultaat PGO’s, PVO’s en hercontroles bij </w:t>
      </w:r>
      <w:proofErr w:type="spellStart"/>
      <w:r w:rsidRPr="00F906CA">
        <w:rPr>
          <w:i/>
          <w:sz w:val="16"/>
        </w:rPr>
        <w:t>BaO</w:t>
      </w:r>
      <w:proofErr w:type="spellEnd"/>
      <w:r w:rsidRPr="00F906CA">
        <w:rPr>
          <w:i/>
          <w:sz w:val="16"/>
        </w:rPr>
        <w:t xml:space="preserve">, VO en totaal: % </w:t>
      </w:r>
      <w:proofErr w:type="spellStart"/>
      <w:r w:rsidRPr="00F906CA">
        <w:rPr>
          <w:i/>
          <w:sz w:val="16"/>
        </w:rPr>
        <w:t>verwĳzingen</w:t>
      </w:r>
      <w:proofErr w:type="spellEnd"/>
      <w:r w:rsidRPr="00F906CA">
        <w:rPr>
          <w:i/>
          <w:sz w:val="16"/>
        </w:rPr>
        <w:t xml:space="preserve"> (aantal).</w:t>
      </w:r>
    </w:p>
    <w:tbl>
      <w:tblPr>
        <w:tblStyle w:val="Onopgemaaktetabel31"/>
        <w:tblW w:w="9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59"/>
        <w:gridCol w:w="1029"/>
        <w:gridCol w:w="1134"/>
        <w:gridCol w:w="891"/>
        <w:gridCol w:w="1255"/>
        <w:gridCol w:w="1215"/>
        <w:gridCol w:w="1459"/>
      </w:tblGrid>
      <w:tr w:rsidR="008A0428" w:rsidRPr="00F906CA" w:rsidTr="00E333F5">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2059" w:type="dxa"/>
            <w:tcBorders>
              <w:top w:val="double" w:sz="4" w:space="0" w:color="auto"/>
              <w:bottom w:val="single" w:sz="12" w:space="0" w:color="auto"/>
              <w:right w:val="double" w:sz="4" w:space="0" w:color="auto"/>
            </w:tcBorders>
            <w:hideMark/>
          </w:tcPr>
          <w:p w:rsidR="008A0428" w:rsidRPr="00F906CA" w:rsidRDefault="008A0428" w:rsidP="00E333F5">
            <w:pPr>
              <w:rPr>
                <w:sz w:val="14"/>
                <w:szCs w:val="16"/>
              </w:rPr>
            </w:pPr>
          </w:p>
        </w:tc>
        <w:tc>
          <w:tcPr>
            <w:tcW w:w="1029" w:type="dxa"/>
            <w:tcBorders>
              <w:top w:val="double" w:sz="4" w:space="0" w:color="auto"/>
              <w:left w:val="double" w:sz="4" w:space="0" w:color="auto"/>
              <w:bottom w:val="single" w:sz="12" w:space="0" w:color="auto"/>
              <w:right w:val="single" w:sz="4" w:space="0" w:color="auto"/>
            </w:tcBorders>
            <w:hideMark/>
          </w:tcPr>
          <w:p w:rsidR="008A0428" w:rsidRPr="00F906CA" w:rsidRDefault="008A0428" w:rsidP="00E333F5">
            <w:pPr>
              <w:cnfStyle w:val="100000000000" w:firstRow="1" w:lastRow="0" w:firstColumn="0" w:lastColumn="0" w:oddVBand="0" w:evenVBand="0" w:oddHBand="0" w:evenHBand="0" w:firstRowFirstColumn="0" w:firstRowLastColumn="0" w:lastRowFirstColumn="0" w:lastRowLastColumn="0"/>
              <w:rPr>
                <w:sz w:val="14"/>
                <w:szCs w:val="16"/>
              </w:rPr>
            </w:pPr>
            <w:r w:rsidRPr="00F906CA">
              <w:rPr>
                <w:sz w:val="14"/>
                <w:szCs w:val="16"/>
              </w:rPr>
              <w:t>ogen</w:t>
            </w:r>
          </w:p>
        </w:tc>
        <w:tc>
          <w:tcPr>
            <w:tcW w:w="1134" w:type="dxa"/>
            <w:tcBorders>
              <w:top w:val="double" w:sz="4" w:space="0" w:color="auto"/>
              <w:left w:val="single" w:sz="4" w:space="0" w:color="auto"/>
              <w:bottom w:val="single" w:sz="12" w:space="0" w:color="auto"/>
              <w:right w:val="single" w:sz="4" w:space="0" w:color="auto"/>
            </w:tcBorders>
            <w:hideMark/>
          </w:tcPr>
          <w:p w:rsidR="008A0428" w:rsidRPr="00F906CA" w:rsidRDefault="008A0428" w:rsidP="00E333F5">
            <w:pPr>
              <w:cnfStyle w:val="100000000000" w:firstRow="1" w:lastRow="0" w:firstColumn="0" w:lastColumn="0" w:oddVBand="0" w:evenVBand="0" w:oddHBand="0" w:evenHBand="0" w:firstRowFirstColumn="0" w:firstRowLastColumn="0" w:lastRowFirstColumn="0" w:lastRowLastColumn="0"/>
              <w:rPr>
                <w:sz w:val="14"/>
                <w:szCs w:val="16"/>
              </w:rPr>
            </w:pPr>
            <w:r w:rsidRPr="00F906CA">
              <w:rPr>
                <w:sz w:val="14"/>
                <w:szCs w:val="16"/>
              </w:rPr>
              <w:t>oren</w:t>
            </w:r>
          </w:p>
        </w:tc>
        <w:tc>
          <w:tcPr>
            <w:tcW w:w="891" w:type="dxa"/>
            <w:tcBorders>
              <w:top w:val="double" w:sz="4" w:space="0" w:color="auto"/>
              <w:left w:val="single" w:sz="4" w:space="0" w:color="auto"/>
              <w:bottom w:val="single" w:sz="12" w:space="0" w:color="auto"/>
              <w:right w:val="single" w:sz="4" w:space="0" w:color="auto"/>
            </w:tcBorders>
            <w:hideMark/>
          </w:tcPr>
          <w:p w:rsidR="008A0428" w:rsidRPr="00F906CA" w:rsidRDefault="008A0428" w:rsidP="00E333F5">
            <w:pPr>
              <w:cnfStyle w:val="100000000000" w:firstRow="1" w:lastRow="0" w:firstColumn="0" w:lastColumn="0" w:oddVBand="0" w:evenVBand="0" w:oddHBand="0" w:evenHBand="0" w:firstRowFirstColumn="0" w:firstRowLastColumn="0" w:lastRowFirstColumn="0" w:lastRowLastColumn="0"/>
              <w:rPr>
                <w:sz w:val="14"/>
                <w:szCs w:val="16"/>
              </w:rPr>
            </w:pPr>
            <w:r w:rsidRPr="00F906CA">
              <w:rPr>
                <w:sz w:val="14"/>
                <w:szCs w:val="16"/>
              </w:rPr>
              <w:t>rug</w:t>
            </w:r>
          </w:p>
        </w:tc>
        <w:tc>
          <w:tcPr>
            <w:tcW w:w="1255" w:type="dxa"/>
            <w:tcBorders>
              <w:top w:val="double" w:sz="4" w:space="0" w:color="auto"/>
              <w:left w:val="single" w:sz="4" w:space="0" w:color="auto"/>
              <w:bottom w:val="single" w:sz="12" w:space="0" w:color="auto"/>
              <w:right w:val="single" w:sz="4" w:space="0" w:color="auto"/>
            </w:tcBorders>
            <w:hideMark/>
          </w:tcPr>
          <w:p w:rsidR="008A0428" w:rsidRPr="00F906CA" w:rsidRDefault="008A0428" w:rsidP="00E333F5">
            <w:pPr>
              <w:cnfStyle w:val="100000000000" w:firstRow="1" w:lastRow="0" w:firstColumn="0" w:lastColumn="0" w:oddVBand="0" w:evenVBand="0" w:oddHBand="0" w:evenHBand="0" w:firstRowFirstColumn="0" w:firstRowLastColumn="0" w:lastRowFirstColumn="0" w:lastRowLastColumn="0"/>
              <w:rPr>
                <w:sz w:val="14"/>
                <w:szCs w:val="16"/>
              </w:rPr>
            </w:pPr>
            <w:r w:rsidRPr="00F906CA">
              <w:rPr>
                <w:sz w:val="14"/>
                <w:szCs w:val="16"/>
              </w:rPr>
              <w:t>motoriek</w:t>
            </w:r>
          </w:p>
        </w:tc>
        <w:tc>
          <w:tcPr>
            <w:tcW w:w="1215" w:type="dxa"/>
            <w:tcBorders>
              <w:top w:val="double" w:sz="4" w:space="0" w:color="auto"/>
              <w:left w:val="single" w:sz="4" w:space="0" w:color="auto"/>
              <w:bottom w:val="single" w:sz="12" w:space="0" w:color="auto"/>
              <w:right w:val="single" w:sz="4" w:space="0" w:color="auto"/>
            </w:tcBorders>
          </w:tcPr>
          <w:p w:rsidR="008A0428" w:rsidRPr="00F906CA" w:rsidRDefault="008A0428" w:rsidP="00E333F5">
            <w:pPr>
              <w:cnfStyle w:val="100000000000" w:firstRow="1" w:lastRow="0" w:firstColumn="0" w:lastColumn="0" w:oddVBand="0" w:evenVBand="0" w:oddHBand="0" w:evenHBand="0" w:firstRowFirstColumn="0" w:firstRowLastColumn="0" w:lastRowFirstColumn="0" w:lastRowLastColumn="0"/>
              <w:rPr>
                <w:sz w:val="14"/>
                <w:szCs w:val="16"/>
              </w:rPr>
            </w:pPr>
            <w:r w:rsidRPr="00F906CA">
              <w:rPr>
                <w:sz w:val="14"/>
                <w:szCs w:val="16"/>
              </w:rPr>
              <w:t>UROLOGIE</w:t>
            </w:r>
          </w:p>
        </w:tc>
        <w:tc>
          <w:tcPr>
            <w:tcW w:w="1459" w:type="dxa"/>
            <w:tcBorders>
              <w:top w:val="double" w:sz="4" w:space="0" w:color="auto"/>
              <w:left w:val="single" w:sz="4" w:space="0" w:color="auto"/>
              <w:bottom w:val="single" w:sz="12" w:space="0" w:color="auto"/>
            </w:tcBorders>
            <w:hideMark/>
          </w:tcPr>
          <w:p w:rsidR="008A0428" w:rsidRPr="00F906CA" w:rsidRDefault="008A0428" w:rsidP="00E333F5">
            <w:pPr>
              <w:cnfStyle w:val="100000000000" w:firstRow="1" w:lastRow="0" w:firstColumn="0" w:lastColumn="0" w:oddVBand="0" w:evenVBand="0" w:oddHBand="0" w:evenHBand="0" w:firstRowFirstColumn="0" w:firstRowLastColumn="0" w:lastRowFirstColumn="0" w:lastRowLastColumn="0"/>
              <w:rPr>
                <w:sz w:val="14"/>
                <w:szCs w:val="16"/>
              </w:rPr>
            </w:pPr>
            <w:proofErr w:type="spellStart"/>
            <w:r w:rsidRPr="00F906CA">
              <w:rPr>
                <w:sz w:val="14"/>
                <w:szCs w:val="16"/>
              </w:rPr>
              <w:t>OVERIGEN</w:t>
            </w:r>
            <w:proofErr w:type="spellEnd"/>
          </w:p>
        </w:tc>
      </w:tr>
      <w:tr w:rsidR="008A0428" w:rsidRPr="00F906CA" w:rsidTr="00E333F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59" w:type="dxa"/>
            <w:tcBorders>
              <w:top w:val="single" w:sz="12" w:space="0" w:color="auto"/>
              <w:bottom w:val="single" w:sz="4" w:space="0" w:color="auto"/>
              <w:right w:val="double" w:sz="4" w:space="0" w:color="auto"/>
            </w:tcBorders>
            <w:hideMark/>
          </w:tcPr>
          <w:p w:rsidR="008A0428" w:rsidRPr="00F906CA" w:rsidRDefault="008A0428" w:rsidP="00E333F5">
            <w:pPr>
              <w:rPr>
                <w:sz w:val="14"/>
                <w:szCs w:val="16"/>
              </w:rPr>
            </w:pPr>
            <w:proofErr w:type="spellStart"/>
            <w:r w:rsidRPr="00F906CA">
              <w:rPr>
                <w:sz w:val="14"/>
                <w:szCs w:val="16"/>
              </w:rPr>
              <w:t>BaO</w:t>
            </w:r>
            <w:proofErr w:type="spellEnd"/>
            <w:r w:rsidRPr="00F906CA">
              <w:rPr>
                <w:sz w:val="14"/>
                <w:szCs w:val="16"/>
              </w:rPr>
              <w:t xml:space="preserve"> (n=7104)</w:t>
            </w:r>
          </w:p>
        </w:tc>
        <w:tc>
          <w:tcPr>
            <w:tcW w:w="1029" w:type="dxa"/>
            <w:tcBorders>
              <w:top w:val="single" w:sz="12" w:space="0" w:color="auto"/>
              <w:left w:val="double" w:sz="4" w:space="0" w:color="auto"/>
              <w:bottom w:val="sing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3,5 (250)</w:t>
            </w:r>
          </w:p>
        </w:tc>
        <w:tc>
          <w:tcPr>
            <w:tcW w:w="1134" w:type="dxa"/>
            <w:tcBorders>
              <w:top w:val="single" w:sz="12" w:space="0" w:color="auto"/>
              <w:left w:val="single" w:sz="4" w:space="0" w:color="auto"/>
              <w:bottom w:val="sing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2,2 (157)</w:t>
            </w:r>
          </w:p>
        </w:tc>
        <w:tc>
          <w:tcPr>
            <w:tcW w:w="891" w:type="dxa"/>
            <w:tcBorders>
              <w:top w:val="single" w:sz="12" w:space="0" w:color="auto"/>
              <w:left w:val="single" w:sz="4" w:space="0" w:color="auto"/>
              <w:bottom w:val="sing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0,4 (30)</w:t>
            </w:r>
          </w:p>
        </w:tc>
        <w:tc>
          <w:tcPr>
            <w:tcW w:w="1255" w:type="dxa"/>
            <w:tcBorders>
              <w:top w:val="single" w:sz="12" w:space="0" w:color="auto"/>
              <w:left w:val="single" w:sz="4" w:space="0" w:color="auto"/>
              <w:bottom w:val="sing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0,1 (5)</w:t>
            </w:r>
          </w:p>
        </w:tc>
        <w:tc>
          <w:tcPr>
            <w:tcW w:w="1215" w:type="dxa"/>
            <w:tcBorders>
              <w:top w:val="single" w:sz="12" w:space="0" w:color="auto"/>
              <w:left w:val="single" w:sz="4" w:space="0" w:color="auto"/>
              <w:bottom w:val="single" w:sz="4" w:space="0" w:color="auto"/>
              <w:right w:val="single" w:sz="4" w:space="0" w:color="auto"/>
            </w:tcBorders>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0,3 (20)</w:t>
            </w:r>
          </w:p>
        </w:tc>
        <w:tc>
          <w:tcPr>
            <w:tcW w:w="1459" w:type="dxa"/>
            <w:tcBorders>
              <w:top w:val="single" w:sz="12" w:space="0" w:color="auto"/>
              <w:left w:val="single" w:sz="4" w:space="0" w:color="auto"/>
              <w:bottom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1,2 (  85)</w:t>
            </w:r>
          </w:p>
        </w:tc>
      </w:tr>
      <w:tr w:rsidR="008A0428" w:rsidRPr="00F906CA" w:rsidTr="00E333F5">
        <w:trPr>
          <w:trHeight w:val="284"/>
        </w:trPr>
        <w:tc>
          <w:tcPr>
            <w:cnfStyle w:val="001000000000" w:firstRow="0" w:lastRow="0" w:firstColumn="1" w:lastColumn="0" w:oddVBand="0" w:evenVBand="0" w:oddHBand="0" w:evenHBand="0" w:firstRowFirstColumn="0" w:firstRowLastColumn="0" w:lastRowFirstColumn="0" w:lastRowLastColumn="0"/>
            <w:tcW w:w="2059" w:type="dxa"/>
            <w:tcBorders>
              <w:top w:val="single" w:sz="4" w:space="0" w:color="auto"/>
              <w:bottom w:val="thinThickSmallGap" w:sz="24" w:space="0" w:color="auto"/>
              <w:right w:val="double" w:sz="4" w:space="0" w:color="auto"/>
            </w:tcBorders>
            <w:hideMark/>
          </w:tcPr>
          <w:p w:rsidR="008A0428" w:rsidRPr="00F906CA" w:rsidRDefault="008A0428" w:rsidP="00E333F5">
            <w:pPr>
              <w:rPr>
                <w:sz w:val="14"/>
                <w:szCs w:val="16"/>
              </w:rPr>
            </w:pPr>
            <w:proofErr w:type="spellStart"/>
            <w:r w:rsidRPr="00F906CA">
              <w:rPr>
                <w:sz w:val="14"/>
                <w:szCs w:val="16"/>
              </w:rPr>
              <w:t>V0</w:t>
            </w:r>
            <w:proofErr w:type="spellEnd"/>
            <w:r w:rsidRPr="00F906CA">
              <w:rPr>
                <w:sz w:val="14"/>
                <w:szCs w:val="16"/>
              </w:rPr>
              <w:t xml:space="preserve"> (n=1841)</w:t>
            </w:r>
          </w:p>
        </w:tc>
        <w:tc>
          <w:tcPr>
            <w:tcW w:w="1029" w:type="dxa"/>
            <w:tcBorders>
              <w:top w:val="single" w:sz="4" w:space="0" w:color="auto"/>
              <w:left w:val="double" w:sz="4" w:space="0" w:color="auto"/>
              <w:bottom w:val="thinThickSmallGap" w:sz="24" w:space="0" w:color="auto"/>
              <w:right w:val="single" w:sz="4" w:space="0" w:color="auto"/>
            </w:tcBorders>
            <w:hideMark/>
          </w:tcPr>
          <w:p w:rsidR="008A0428" w:rsidRPr="00F906CA" w:rsidRDefault="008A0428" w:rsidP="00E333F5">
            <w:pPr>
              <w:cnfStyle w:val="000000000000" w:firstRow="0" w:lastRow="0" w:firstColumn="0" w:lastColumn="0" w:oddVBand="0" w:evenVBand="0" w:oddHBand="0" w:evenHBand="0" w:firstRowFirstColumn="0" w:firstRowLastColumn="0" w:lastRowFirstColumn="0" w:lastRowLastColumn="0"/>
              <w:rPr>
                <w:sz w:val="14"/>
                <w:szCs w:val="16"/>
              </w:rPr>
            </w:pPr>
            <w:r w:rsidRPr="00F906CA">
              <w:rPr>
                <w:sz w:val="14"/>
                <w:szCs w:val="16"/>
              </w:rPr>
              <w:t>3,2 (  59)</w:t>
            </w:r>
          </w:p>
        </w:tc>
        <w:tc>
          <w:tcPr>
            <w:tcW w:w="1134" w:type="dxa"/>
            <w:tcBorders>
              <w:top w:val="single" w:sz="4" w:space="0" w:color="auto"/>
              <w:left w:val="single" w:sz="4" w:space="0" w:color="auto"/>
              <w:bottom w:val="thinThickSmallGap" w:sz="24" w:space="0" w:color="auto"/>
              <w:right w:val="single" w:sz="4" w:space="0" w:color="auto"/>
            </w:tcBorders>
            <w:hideMark/>
          </w:tcPr>
          <w:p w:rsidR="008A0428" w:rsidRPr="00F906CA" w:rsidRDefault="008A0428" w:rsidP="00E333F5">
            <w:pPr>
              <w:cnfStyle w:val="000000000000" w:firstRow="0" w:lastRow="0" w:firstColumn="0" w:lastColumn="0" w:oddVBand="0" w:evenVBand="0" w:oddHBand="0" w:evenHBand="0" w:firstRowFirstColumn="0" w:firstRowLastColumn="0" w:lastRowFirstColumn="0" w:lastRowLastColumn="0"/>
              <w:rPr>
                <w:sz w:val="14"/>
                <w:szCs w:val="16"/>
              </w:rPr>
            </w:pPr>
            <w:r w:rsidRPr="00F906CA">
              <w:rPr>
                <w:sz w:val="14"/>
                <w:szCs w:val="16"/>
              </w:rPr>
              <w:t>0,5 (  10)</w:t>
            </w:r>
          </w:p>
        </w:tc>
        <w:tc>
          <w:tcPr>
            <w:tcW w:w="891" w:type="dxa"/>
            <w:tcBorders>
              <w:top w:val="single" w:sz="4" w:space="0" w:color="auto"/>
              <w:left w:val="single" w:sz="4" w:space="0" w:color="auto"/>
              <w:bottom w:val="thinThickSmallGap" w:sz="24" w:space="0" w:color="auto"/>
              <w:right w:val="single" w:sz="4" w:space="0" w:color="auto"/>
            </w:tcBorders>
            <w:hideMark/>
          </w:tcPr>
          <w:p w:rsidR="008A0428" w:rsidRPr="00F906CA" w:rsidRDefault="008A0428" w:rsidP="00E333F5">
            <w:pPr>
              <w:cnfStyle w:val="000000000000" w:firstRow="0" w:lastRow="0" w:firstColumn="0" w:lastColumn="0" w:oddVBand="0" w:evenVBand="0" w:oddHBand="0" w:evenHBand="0" w:firstRowFirstColumn="0" w:firstRowLastColumn="0" w:lastRowFirstColumn="0" w:lastRowLastColumn="0"/>
              <w:rPr>
                <w:sz w:val="14"/>
                <w:szCs w:val="16"/>
              </w:rPr>
            </w:pPr>
            <w:r w:rsidRPr="00F906CA">
              <w:rPr>
                <w:sz w:val="14"/>
                <w:szCs w:val="16"/>
              </w:rPr>
              <w:t>2,4 (45)</w:t>
            </w:r>
          </w:p>
        </w:tc>
        <w:tc>
          <w:tcPr>
            <w:tcW w:w="1255" w:type="dxa"/>
            <w:tcBorders>
              <w:top w:val="single" w:sz="4" w:space="0" w:color="auto"/>
              <w:left w:val="single" w:sz="4" w:space="0" w:color="auto"/>
              <w:bottom w:val="thinThickSmallGap" w:sz="24" w:space="0" w:color="auto"/>
              <w:right w:val="single" w:sz="4" w:space="0" w:color="auto"/>
            </w:tcBorders>
            <w:hideMark/>
          </w:tcPr>
          <w:p w:rsidR="008A0428" w:rsidRPr="00F906CA" w:rsidRDefault="008A0428" w:rsidP="00E333F5">
            <w:pPr>
              <w:cnfStyle w:val="000000000000" w:firstRow="0" w:lastRow="0" w:firstColumn="0" w:lastColumn="0" w:oddVBand="0" w:evenVBand="0" w:oddHBand="0" w:evenHBand="0" w:firstRowFirstColumn="0" w:firstRowLastColumn="0" w:lastRowFirstColumn="0" w:lastRowLastColumn="0"/>
              <w:rPr>
                <w:sz w:val="14"/>
                <w:szCs w:val="16"/>
              </w:rPr>
            </w:pPr>
          </w:p>
        </w:tc>
        <w:tc>
          <w:tcPr>
            <w:tcW w:w="1215" w:type="dxa"/>
            <w:tcBorders>
              <w:top w:val="single" w:sz="4" w:space="0" w:color="auto"/>
              <w:left w:val="single" w:sz="4" w:space="0" w:color="auto"/>
              <w:bottom w:val="thinThickSmallGap" w:sz="24" w:space="0" w:color="auto"/>
              <w:right w:val="single" w:sz="4" w:space="0" w:color="auto"/>
            </w:tcBorders>
          </w:tcPr>
          <w:p w:rsidR="008A0428" w:rsidRPr="00F906CA" w:rsidRDefault="008A0428" w:rsidP="00E333F5">
            <w:pPr>
              <w:cnfStyle w:val="000000000000" w:firstRow="0" w:lastRow="0" w:firstColumn="0" w:lastColumn="0" w:oddVBand="0" w:evenVBand="0" w:oddHBand="0" w:evenHBand="0" w:firstRowFirstColumn="0" w:firstRowLastColumn="0" w:lastRowFirstColumn="0" w:lastRowLastColumn="0"/>
              <w:rPr>
                <w:sz w:val="14"/>
                <w:szCs w:val="16"/>
              </w:rPr>
            </w:pPr>
            <w:r w:rsidRPr="00F906CA">
              <w:rPr>
                <w:sz w:val="14"/>
                <w:szCs w:val="16"/>
              </w:rPr>
              <w:t>0,2 (  4)</w:t>
            </w:r>
          </w:p>
        </w:tc>
        <w:tc>
          <w:tcPr>
            <w:tcW w:w="1459" w:type="dxa"/>
            <w:tcBorders>
              <w:top w:val="single" w:sz="4" w:space="0" w:color="auto"/>
              <w:left w:val="single" w:sz="4" w:space="0" w:color="auto"/>
              <w:bottom w:val="thinThickSmallGap" w:sz="24" w:space="0" w:color="auto"/>
            </w:tcBorders>
            <w:hideMark/>
          </w:tcPr>
          <w:p w:rsidR="008A0428" w:rsidRPr="00F906CA" w:rsidRDefault="008A0428" w:rsidP="00E333F5">
            <w:pPr>
              <w:cnfStyle w:val="000000000000" w:firstRow="0" w:lastRow="0" w:firstColumn="0" w:lastColumn="0" w:oddVBand="0" w:evenVBand="0" w:oddHBand="0" w:evenHBand="0" w:firstRowFirstColumn="0" w:firstRowLastColumn="0" w:lastRowFirstColumn="0" w:lastRowLastColumn="0"/>
              <w:rPr>
                <w:sz w:val="14"/>
                <w:szCs w:val="16"/>
              </w:rPr>
            </w:pPr>
            <w:r w:rsidRPr="00F906CA">
              <w:rPr>
                <w:sz w:val="14"/>
                <w:szCs w:val="16"/>
              </w:rPr>
              <w:t>2,2 (  41)</w:t>
            </w:r>
          </w:p>
        </w:tc>
      </w:tr>
      <w:tr w:rsidR="008A0428" w:rsidRPr="00F906CA" w:rsidTr="00E333F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59" w:type="dxa"/>
            <w:tcBorders>
              <w:top w:val="thinThickSmallGap" w:sz="24" w:space="0" w:color="auto"/>
              <w:bottom w:val="double" w:sz="4" w:space="0" w:color="auto"/>
              <w:right w:val="double" w:sz="4" w:space="0" w:color="auto"/>
            </w:tcBorders>
            <w:hideMark/>
          </w:tcPr>
          <w:p w:rsidR="008A0428" w:rsidRPr="00F906CA" w:rsidRDefault="008A0428" w:rsidP="00E333F5">
            <w:pPr>
              <w:rPr>
                <w:sz w:val="14"/>
                <w:szCs w:val="16"/>
              </w:rPr>
            </w:pPr>
            <w:r w:rsidRPr="00F906CA">
              <w:rPr>
                <w:sz w:val="14"/>
                <w:szCs w:val="16"/>
              </w:rPr>
              <w:t>TOTAAL (n=13196)</w:t>
            </w:r>
          </w:p>
        </w:tc>
        <w:tc>
          <w:tcPr>
            <w:tcW w:w="1029" w:type="dxa"/>
            <w:tcBorders>
              <w:top w:val="thinThickSmallGap" w:sz="24" w:space="0" w:color="auto"/>
              <w:left w:val="double" w:sz="4" w:space="0" w:color="auto"/>
              <w:bottom w:val="doub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2,4 (313)</w:t>
            </w:r>
          </w:p>
        </w:tc>
        <w:tc>
          <w:tcPr>
            <w:tcW w:w="1134" w:type="dxa"/>
            <w:tcBorders>
              <w:top w:val="thinThickSmallGap" w:sz="24" w:space="0" w:color="auto"/>
              <w:left w:val="single" w:sz="4" w:space="0" w:color="auto"/>
              <w:bottom w:val="doub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1,3 (172)</w:t>
            </w:r>
          </w:p>
        </w:tc>
        <w:tc>
          <w:tcPr>
            <w:tcW w:w="891" w:type="dxa"/>
            <w:tcBorders>
              <w:top w:val="thinThickSmallGap" w:sz="24" w:space="0" w:color="auto"/>
              <w:left w:val="single" w:sz="4" w:space="0" w:color="auto"/>
              <w:bottom w:val="doub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0,6 (76)</w:t>
            </w:r>
          </w:p>
        </w:tc>
        <w:tc>
          <w:tcPr>
            <w:tcW w:w="1255" w:type="dxa"/>
            <w:tcBorders>
              <w:top w:val="thinThickSmallGap" w:sz="24" w:space="0" w:color="auto"/>
              <w:left w:val="single" w:sz="4" w:space="0" w:color="auto"/>
              <w:bottom w:val="double" w:sz="4" w:space="0" w:color="auto"/>
              <w:right w:val="sing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&lt;0,1 (5)</w:t>
            </w:r>
          </w:p>
        </w:tc>
        <w:tc>
          <w:tcPr>
            <w:tcW w:w="1215" w:type="dxa"/>
            <w:tcBorders>
              <w:top w:val="thinThickSmallGap" w:sz="24" w:space="0" w:color="auto"/>
              <w:left w:val="single" w:sz="4" w:space="0" w:color="auto"/>
              <w:bottom w:val="double" w:sz="4" w:space="0" w:color="auto"/>
              <w:right w:val="single" w:sz="4" w:space="0" w:color="auto"/>
            </w:tcBorders>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0,2 (27)</w:t>
            </w:r>
          </w:p>
        </w:tc>
        <w:tc>
          <w:tcPr>
            <w:tcW w:w="1459" w:type="dxa"/>
            <w:tcBorders>
              <w:top w:val="thinThickSmallGap" w:sz="24" w:space="0" w:color="auto"/>
              <w:left w:val="single" w:sz="4" w:space="0" w:color="auto"/>
              <w:bottom w:val="double" w:sz="4" w:space="0" w:color="auto"/>
            </w:tcBorders>
            <w:hideMark/>
          </w:tcPr>
          <w:p w:rsidR="008A0428" w:rsidRPr="00F906CA" w:rsidRDefault="008A0428" w:rsidP="00E333F5">
            <w:pPr>
              <w:cnfStyle w:val="000000100000" w:firstRow="0" w:lastRow="0" w:firstColumn="0" w:lastColumn="0" w:oddVBand="0" w:evenVBand="0" w:oddHBand="1" w:evenHBand="0" w:firstRowFirstColumn="0" w:firstRowLastColumn="0" w:lastRowFirstColumn="0" w:lastRowLastColumn="0"/>
              <w:rPr>
                <w:sz w:val="14"/>
                <w:szCs w:val="16"/>
              </w:rPr>
            </w:pPr>
            <w:r w:rsidRPr="00F906CA">
              <w:rPr>
                <w:sz w:val="14"/>
                <w:szCs w:val="16"/>
              </w:rPr>
              <w:t>0,1 (127)</w:t>
            </w:r>
          </w:p>
        </w:tc>
      </w:tr>
    </w:tbl>
    <w:p w:rsidR="008A0428" w:rsidRPr="00F906CA" w:rsidRDefault="008A0428" w:rsidP="008A0428">
      <w:pPr>
        <w:rPr>
          <w:sz w:val="16"/>
        </w:rPr>
      </w:pPr>
    </w:p>
    <w:p w:rsidR="008A0428" w:rsidRPr="005149E9" w:rsidRDefault="008A0428" w:rsidP="008A0428">
      <w:pPr>
        <w:rPr>
          <w:szCs w:val="18"/>
        </w:rPr>
      </w:pPr>
      <w:r w:rsidRPr="005149E9">
        <w:rPr>
          <w:szCs w:val="18"/>
        </w:rPr>
        <w:t>Ruim 8% van de verwijzingen volgt uit een aanvraag tot onderzoek vanuit ouder, leerling, school of anderszins en dat iets minder dan 4% het gevolg is van een onderzoek en/of gesprek dat tijdens een spreekuur is gehouden (= invulling vrijgekomen tijd).</w:t>
      </w:r>
    </w:p>
    <w:p w:rsidR="008A0428" w:rsidRDefault="008A0428" w:rsidP="008A0428">
      <w:pPr>
        <w:spacing w:after="160" w:line="259" w:lineRule="auto"/>
        <w:rPr>
          <w:i/>
          <w:sz w:val="16"/>
        </w:rPr>
      </w:pPr>
    </w:p>
    <w:p w:rsidR="008A0428" w:rsidRPr="00F906CA" w:rsidRDefault="008A0428" w:rsidP="008A0428">
      <w:pPr>
        <w:spacing w:after="160" w:line="259" w:lineRule="auto"/>
        <w:rPr>
          <w:i/>
          <w:sz w:val="16"/>
        </w:rPr>
      </w:pPr>
      <w:r w:rsidRPr="00F906CA">
        <w:rPr>
          <w:i/>
          <w:sz w:val="16"/>
        </w:rPr>
        <w:t>Tabel 2. Redenen verwijzing en hercontrole naar categorie (n=290 waarvan 34 voor &gt; 1  reden)</w:t>
      </w:r>
    </w:p>
    <w:tbl>
      <w:tblPr>
        <w:tblStyle w:val="Tabelraster"/>
        <w:tblW w:w="9493" w:type="dxa"/>
        <w:tblBorders>
          <w:top w:val="double" w:sz="4" w:space="0" w:color="auto"/>
          <w:left w:val="double" w:sz="4" w:space="0" w:color="auto"/>
          <w:bottom w:val="double" w:sz="4" w:space="0" w:color="auto"/>
          <w:right w:val="double" w:sz="4" w:space="0" w:color="auto"/>
          <w:insideH w:val="single" w:sz="24" w:space="0" w:color="auto"/>
        </w:tblBorders>
        <w:tblLook w:val="04A0" w:firstRow="1" w:lastRow="0" w:firstColumn="1" w:lastColumn="0" w:noHBand="0" w:noVBand="1"/>
      </w:tblPr>
      <w:tblGrid>
        <w:gridCol w:w="1980"/>
        <w:gridCol w:w="1756"/>
        <w:gridCol w:w="2496"/>
        <w:gridCol w:w="1701"/>
        <w:gridCol w:w="1560"/>
      </w:tblGrid>
      <w:tr w:rsidR="008A0428" w:rsidRPr="00F906CA" w:rsidTr="00E333F5">
        <w:trPr>
          <w:trHeight w:val="325"/>
        </w:trPr>
        <w:tc>
          <w:tcPr>
            <w:tcW w:w="1980" w:type="dxa"/>
            <w:hideMark/>
          </w:tcPr>
          <w:p w:rsidR="008A0428" w:rsidRPr="00F906CA" w:rsidRDefault="008A0428" w:rsidP="00E333F5">
            <w:pPr>
              <w:rPr>
                <w:b/>
                <w:sz w:val="14"/>
              </w:rPr>
            </w:pPr>
            <w:r w:rsidRPr="00F906CA">
              <w:rPr>
                <w:b/>
                <w:sz w:val="14"/>
              </w:rPr>
              <w:t>huisarts</w:t>
            </w:r>
          </w:p>
        </w:tc>
        <w:tc>
          <w:tcPr>
            <w:tcW w:w="1756" w:type="dxa"/>
            <w:hideMark/>
          </w:tcPr>
          <w:p w:rsidR="008A0428" w:rsidRPr="00F906CA" w:rsidRDefault="008A0428" w:rsidP="00E333F5">
            <w:pPr>
              <w:rPr>
                <w:b/>
                <w:sz w:val="14"/>
              </w:rPr>
            </w:pPr>
            <w:r w:rsidRPr="00F906CA">
              <w:rPr>
                <w:b/>
                <w:sz w:val="14"/>
              </w:rPr>
              <w:t>screeningen</w:t>
            </w:r>
          </w:p>
        </w:tc>
        <w:tc>
          <w:tcPr>
            <w:tcW w:w="2496" w:type="dxa"/>
            <w:hideMark/>
          </w:tcPr>
          <w:p w:rsidR="008A0428" w:rsidRPr="00F906CA" w:rsidRDefault="008A0428" w:rsidP="00E333F5">
            <w:pPr>
              <w:rPr>
                <w:b/>
                <w:sz w:val="14"/>
              </w:rPr>
            </w:pPr>
            <w:r w:rsidRPr="00F906CA">
              <w:rPr>
                <w:b/>
                <w:sz w:val="14"/>
              </w:rPr>
              <w:t>school</w:t>
            </w:r>
          </w:p>
        </w:tc>
        <w:tc>
          <w:tcPr>
            <w:tcW w:w="1701" w:type="dxa"/>
            <w:hideMark/>
          </w:tcPr>
          <w:p w:rsidR="008A0428" w:rsidRPr="00F906CA" w:rsidRDefault="008A0428" w:rsidP="00E333F5">
            <w:pPr>
              <w:rPr>
                <w:b/>
                <w:sz w:val="14"/>
              </w:rPr>
            </w:pPr>
            <w:proofErr w:type="spellStart"/>
            <w:r w:rsidRPr="00F906CA">
              <w:rPr>
                <w:b/>
                <w:sz w:val="14"/>
              </w:rPr>
              <w:t>overigen</w:t>
            </w:r>
            <w:proofErr w:type="spellEnd"/>
          </w:p>
        </w:tc>
        <w:tc>
          <w:tcPr>
            <w:tcW w:w="1560" w:type="dxa"/>
            <w:hideMark/>
          </w:tcPr>
          <w:p w:rsidR="008A0428" w:rsidRPr="00F906CA" w:rsidRDefault="008A0428" w:rsidP="00E333F5">
            <w:pPr>
              <w:rPr>
                <w:b/>
                <w:sz w:val="14"/>
              </w:rPr>
            </w:pPr>
            <w:r w:rsidRPr="00F906CA">
              <w:rPr>
                <w:b/>
                <w:sz w:val="14"/>
              </w:rPr>
              <w:t>ONDUIDELIJK</w:t>
            </w:r>
          </w:p>
        </w:tc>
      </w:tr>
      <w:tr w:rsidR="008A0428" w:rsidRPr="00F906CA" w:rsidTr="00E333F5">
        <w:trPr>
          <w:trHeight w:val="3405"/>
        </w:trPr>
        <w:tc>
          <w:tcPr>
            <w:tcW w:w="1980" w:type="dxa"/>
            <w:hideMark/>
          </w:tcPr>
          <w:p w:rsidR="008A0428" w:rsidRPr="00F906CA" w:rsidRDefault="008A0428" w:rsidP="00E333F5">
            <w:pPr>
              <w:rPr>
                <w:b/>
                <w:sz w:val="14"/>
              </w:rPr>
            </w:pPr>
            <w:proofErr w:type="spellStart"/>
            <w:r w:rsidRPr="00F906CA">
              <w:rPr>
                <w:sz w:val="14"/>
              </w:rPr>
              <w:t>afw</w:t>
            </w:r>
            <w:proofErr w:type="spellEnd"/>
            <w:r w:rsidRPr="00F906CA">
              <w:rPr>
                <w:sz w:val="14"/>
              </w:rPr>
              <w:t xml:space="preserve">. lengtegroei </w:t>
            </w:r>
            <w:r w:rsidRPr="00F906CA">
              <w:rPr>
                <w:sz w:val="14"/>
              </w:rPr>
              <w:br/>
              <w:t xml:space="preserve">allergie </w:t>
            </w:r>
            <w:r w:rsidRPr="00F906CA">
              <w:rPr>
                <w:sz w:val="14"/>
              </w:rPr>
              <w:br/>
            </w:r>
            <w:proofErr w:type="spellStart"/>
            <w:r w:rsidRPr="00F906CA">
              <w:rPr>
                <w:sz w:val="14"/>
              </w:rPr>
              <w:t>psychosom</w:t>
            </w:r>
            <w:proofErr w:type="spellEnd"/>
            <w:r w:rsidRPr="00F906CA">
              <w:rPr>
                <w:sz w:val="14"/>
              </w:rPr>
              <w:t xml:space="preserve">. klachten </w:t>
            </w:r>
            <w:r w:rsidRPr="00F906CA">
              <w:rPr>
                <w:sz w:val="14"/>
              </w:rPr>
              <w:br/>
              <w:t xml:space="preserve">hoofdpijn </w:t>
            </w:r>
            <w:r w:rsidRPr="00F906CA">
              <w:rPr>
                <w:sz w:val="14"/>
              </w:rPr>
              <w:br/>
              <w:t xml:space="preserve">buikpijn </w:t>
            </w:r>
            <w:r w:rsidRPr="00F906CA">
              <w:rPr>
                <w:sz w:val="14"/>
              </w:rPr>
              <w:br/>
              <w:t xml:space="preserve">CARA </w:t>
            </w:r>
            <w:r w:rsidRPr="00F906CA">
              <w:rPr>
                <w:sz w:val="14"/>
              </w:rPr>
              <w:br/>
              <w:t xml:space="preserve">enuresis </w:t>
            </w:r>
            <w:r w:rsidRPr="00F906CA">
              <w:rPr>
                <w:sz w:val="14"/>
              </w:rPr>
              <w:br/>
            </w:r>
            <w:proofErr w:type="spellStart"/>
            <w:r w:rsidRPr="00F906CA">
              <w:rPr>
                <w:sz w:val="14"/>
              </w:rPr>
              <w:t>encopresis</w:t>
            </w:r>
            <w:proofErr w:type="spellEnd"/>
            <w:r w:rsidRPr="00F906CA">
              <w:rPr>
                <w:sz w:val="14"/>
              </w:rPr>
              <w:t xml:space="preserve"> </w:t>
            </w:r>
            <w:r w:rsidRPr="00F906CA">
              <w:rPr>
                <w:sz w:val="14"/>
              </w:rPr>
              <w:br/>
              <w:t xml:space="preserve">wormpjes </w:t>
            </w:r>
            <w:r w:rsidRPr="00F906CA">
              <w:rPr>
                <w:sz w:val="14"/>
              </w:rPr>
              <w:br/>
              <w:t xml:space="preserve">rugpijn </w:t>
            </w:r>
          </w:p>
        </w:tc>
        <w:tc>
          <w:tcPr>
            <w:tcW w:w="1756" w:type="dxa"/>
            <w:hideMark/>
          </w:tcPr>
          <w:p w:rsidR="008A0428" w:rsidRPr="00F906CA" w:rsidRDefault="008A0428" w:rsidP="00E333F5">
            <w:pPr>
              <w:rPr>
                <w:sz w:val="14"/>
              </w:rPr>
            </w:pPr>
            <w:r w:rsidRPr="00F906CA">
              <w:rPr>
                <w:sz w:val="14"/>
              </w:rPr>
              <w:t xml:space="preserve">visus </w:t>
            </w:r>
            <w:r w:rsidRPr="00F906CA">
              <w:rPr>
                <w:sz w:val="14"/>
              </w:rPr>
              <w:br/>
              <w:t xml:space="preserve">ogen </w:t>
            </w:r>
            <w:r w:rsidRPr="00F906CA">
              <w:rPr>
                <w:sz w:val="14"/>
              </w:rPr>
              <w:br/>
              <w:t>gehoor</w:t>
            </w:r>
            <w:r w:rsidRPr="00F906CA">
              <w:rPr>
                <w:sz w:val="14"/>
              </w:rPr>
              <w:br/>
            </w:r>
            <w:proofErr w:type="spellStart"/>
            <w:r w:rsidRPr="00F906CA">
              <w:rPr>
                <w:sz w:val="14"/>
              </w:rPr>
              <w:t>afw</w:t>
            </w:r>
            <w:proofErr w:type="spellEnd"/>
            <w:r w:rsidRPr="00F906CA">
              <w:rPr>
                <w:sz w:val="14"/>
              </w:rPr>
              <w:t xml:space="preserve">. kleurenzien </w:t>
            </w:r>
          </w:p>
          <w:p w:rsidR="008A0428" w:rsidRPr="00F906CA" w:rsidRDefault="008A0428" w:rsidP="00E333F5">
            <w:pPr>
              <w:rPr>
                <w:sz w:val="14"/>
              </w:rPr>
            </w:pPr>
            <w:proofErr w:type="spellStart"/>
            <w:r w:rsidRPr="00F906CA">
              <w:rPr>
                <w:sz w:val="14"/>
              </w:rPr>
              <w:t>afw</w:t>
            </w:r>
            <w:proofErr w:type="spellEnd"/>
            <w:r w:rsidRPr="00F906CA">
              <w:rPr>
                <w:sz w:val="14"/>
              </w:rPr>
              <w:t>. houding</w:t>
            </w:r>
          </w:p>
          <w:p w:rsidR="008A0428" w:rsidRPr="00F906CA" w:rsidRDefault="008A0428" w:rsidP="00E333F5">
            <w:pPr>
              <w:rPr>
                <w:sz w:val="14"/>
              </w:rPr>
            </w:pPr>
            <w:r w:rsidRPr="00F906CA">
              <w:rPr>
                <w:sz w:val="14"/>
              </w:rPr>
              <w:t xml:space="preserve">scoliose </w:t>
            </w:r>
          </w:p>
          <w:p w:rsidR="008A0428" w:rsidRPr="00F906CA" w:rsidRDefault="008A0428" w:rsidP="00E333F5">
            <w:pPr>
              <w:rPr>
                <w:sz w:val="14"/>
              </w:rPr>
            </w:pPr>
            <w:r w:rsidRPr="00F906CA">
              <w:rPr>
                <w:sz w:val="14"/>
              </w:rPr>
              <w:t>(hyper)</w:t>
            </w:r>
            <w:proofErr w:type="spellStart"/>
            <w:r w:rsidRPr="00F906CA">
              <w:rPr>
                <w:sz w:val="14"/>
              </w:rPr>
              <w:t>kyfose</w:t>
            </w:r>
            <w:proofErr w:type="spellEnd"/>
            <w:r w:rsidRPr="00F906CA">
              <w:rPr>
                <w:sz w:val="14"/>
              </w:rPr>
              <w:t xml:space="preserve"> bekkenscheefstand hyperlordose </w:t>
            </w:r>
            <w:r w:rsidRPr="00F906CA">
              <w:rPr>
                <w:sz w:val="14"/>
              </w:rPr>
              <w:br/>
              <w:t xml:space="preserve">mond (gebit) </w:t>
            </w:r>
            <w:r w:rsidRPr="00F906CA">
              <w:rPr>
                <w:sz w:val="14"/>
              </w:rPr>
              <w:br/>
              <w:t>spraak/stem/taal</w:t>
            </w:r>
          </w:p>
        </w:tc>
        <w:tc>
          <w:tcPr>
            <w:tcW w:w="2496" w:type="dxa"/>
            <w:hideMark/>
          </w:tcPr>
          <w:p w:rsidR="008A0428" w:rsidRPr="00F906CA" w:rsidRDefault="008A0428" w:rsidP="00E333F5">
            <w:pPr>
              <w:rPr>
                <w:sz w:val="14"/>
              </w:rPr>
            </w:pPr>
            <w:r w:rsidRPr="00F906CA">
              <w:rPr>
                <w:sz w:val="14"/>
              </w:rPr>
              <w:t xml:space="preserve">gedragsproblemen motoriek gezinsproblemen sociale weerbaarheid (faal)angstig leerproblemen </w:t>
            </w:r>
          </w:p>
          <w:p w:rsidR="008A0428" w:rsidRPr="00F906CA" w:rsidRDefault="008A0428" w:rsidP="00E333F5">
            <w:pPr>
              <w:rPr>
                <w:sz w:val="14"/>
              </w:rPr>
            </w:pPr>
            <w:r w:rsidRPr="00F906CA">
              <w:rPr>
                <w:sz w:val="14"/>
              </w:rPr>
              <w:t>mogelijk seksuele of</w:t>
            </w:r>
          </w:p>
          <w:p w:rsidR="008A0428" w:rsidRPr="00F906CA" w:rsidRDefault="008A0428" w:rsidP="00E333F5">
            <w:pPr>
              <w:rPr>
                <w:sz w:val="14"/>
              </w:rPr>
            </w:pPr>
            <w:r w:rsidRPr="00F906CA">
              <w:rPr>
                <w:sz w:val="14"/>
              </w:rPr>
              <w:t xml:space="preserve">    andere mishandeling gezinsproblemen onzekerheid </w:t>
            </w:r>
          </w:p>
        </w:tc>
        <w:tc>
          <w:tcPr>
            <w:tcW w:w="1701" w:type="dxa"/>
            <w:hideMark/>
          </w:tcPr>
          <w:p w:rsidR="008A0428" w:rsidRPr="00F906CA" w:rsidRDefault="008A0428" w:rsidP="00E333F5">
            <w:pPr>
              <w:rPr>
                <w:sz w:val="14"/>
              </w:rPr>
            </w:pPr>
            <w:r w:rsidRPr="00F906CA">
              <w:rPr>
                <w:sz w:val="14"/>
              </w:rPr>
              <w:t>niet te</w:t>
            </w:r>
          </w:p>
          <w:p w:rsidR="008A0428" w:rsidRPr="00F906CA" w:rsidRDefault="008A0428" w:rsidP="00E333F5">
            <w:pPr>
              <w:rPr>
                <w:sz w:val="14"/>
              </w:rPr>
            </w:pPr>
            <w:r w:rsidRPr="00F906CA">
              <w:rPr>
                <w:sz w:val="14"/>
              </w:rPr>
              <w:t xml:space="preserve">    onderzoeken </w:t>
            </w:r>
            <w:r w:rsidRPr="00F906CA">
              <w:rPr>
                <w:sz w:val="14"/>
              </w:rPr>
              <w:br/>
              <w:t xml:space="preserve">ouders weigeren </w:t>
            </w:r>
            <w:r w:rsidRPr="00F906CA">
              <w:rPr>
                <w:sz w:val="14"/>
              </w:rPr>
              <w:br/>
              <w:t xml:space="preserve">kind is ziek </w:t>
            </w:r>
            <w:r w:rsidRPr="00F906CA">
              <w:rPr>
                <w:sz w:val="14"/>
              </w:rPr>
              <w:br/>
              <w:t xml:space="preserve">onder controle </w:t>
            </w:r>
          </w:p>
          <w:p w:rsidR="008A0428" w:rsidRPr="00F906CA" w:rsidRDefault="008A0428" w:rsidP="00E333F5">
            <w:pPr>
              <w:rPr>
                <w:sz w:val="14"/>
              </w:rPr>
            </w:pPr>
            <w:r w:rsidRPr="00F906CA">
              <w:rPr>
                <w:sz w:val="14"/>
              </w:rPr>
              <w:t xml:space="preserve">    RIAGG of </w:t>
            </w:r>
            <w:proofErr w:type="spellStart"/>
            <w:r w:rsidRPr="00F906CA">
              <w:rPr>
                <w:sz w:val="14"/>
              </w:rPr>
              <w:t>RGAB</w:t>
            </w:r>
            <w:proofErr w:type="spellEnd"/>
            <w:r w:rsidRPr="00F906CA">
              <w:rPr>
                <w:sz w:val="14"/>
              </w:rPr>
              <w:t xml:space="preserve"> </w:t>
            </w:r>
          </w:p>
        </w:tc>
        <w:tc>
          <w:tcPr>
            <w:tcW w:w="1560" w:type="dxa"/>
            <w:hideMark/>
          </w:tcPr>
          <w:p w:rsidR="008A0428" w:rsidRPr="00F906CA" w:rsidRDefault="008A0428" w:rsidP="00E333F5">
            <w:pPr>
              <w:rPr>
                <w:sz w:val="14"/>
              </w:rPr>
            </w:pPr>
            <w:r w:rsidRPr="00F906CA">
              <w:rPr>
                <w:sz w:val="14"/>
              </w:rPr>
              <w:t xml:space="preserve">hygiëne </w:t>
            </w:r>
          </w:p>
          <w:p w:rsidR="008A0428" w:rsidRPr="00F906CA" w:rsidRDefault="008A0428" w:rsidP="00E333F5">
            <w:pPr>
              <w:rPr>
                <w:sz w:val="14"/>
              </w:rPr>
            </w:pPr>
            <w:r w:rsidRPr="00F906CA">
              <w:rPr>
                <w:sz w:val="14"/>
              </w:rPr>
              <w:t>anders/</w:t>
            </w:r>
            <w:proofErr w:type="spellStart"/>
            <w:r w:rsidRPr="00F906CA">
              <w:rPr>
                <w:sz w:val="14"/>
              </w:rPr>
              <w:t>overigen</w:t>
            </w:r>
            <w:proofErr w:type="spellEnd"/>
            <w:r w:rsidRPr="00F906CA">
              <w:rPr>
                <w:sz w:val="14"/>
              </w:rPr>
              <w:t xml:space="preserve"> </w:t>
            </w:r>
          </w:p>
          <w:p w:rsidR="008A0428" w:rsidRPr="00F906CA" w:rsidRDefault="008A0428" w:rsidP="00E333F5">
            <w:pPr>
              <w:rPr>
                <w:sz w:val="14"/>
              </w:rPr>
            </w:pPr>
            <w:r w:rsidRPr="00F906CA">
              <w:rPr>
                <w:sz w:val="14"/>
              </w:rPr>
              <w:t>phimosis</w:t>
            </w:r>
          </w:p>
        </w:tc>
      </w:tr>
    </w:tbl>
    <w:p w:rsidR="008A0428" w:rsidRPr="005149E9" w:rsidRDefault="008A0428" w:rsidP="008A0428">
      <w:pPr>
        <w:rPr>
          <w:sz w:val="14"/>
          <w:szCs w:val="14"/>
        </w:rPr>
      </w:pPr>
      <w:r w:rsidRPr="005149E9">
        <w:rPr>
          <w:i/>
          <w:sz w:val="14"/>
          <w:szCs w:val="14"/>
        </w:rPr>
        <w:t>Alle contacten</w:t>
      </w:r>
      <w:r w:rsidRPr="005149E9">
        <w:rPr>
          <w:sz w:val="14"/>
          <w:szCs w:val="14"/>
        </w:rPr>
        <w:t xml:space="preserve"> (13.196) – niet alleen de PGO’s, PVO’s en hercontroles. </w:t>
      </w:r>
    </w:p>
    <w:p w:rsidR="008A0428" w:rsidRPr="005149E9" w:rsidRDefault="008A0428" w:rsidP="008A0428">
      <w:pPr>
        <w:rPr>
          <w:sz w:val="14"/>
          <w:szCs w:val="14"/>
        </w:rPr>
      </w:pPr>
      <w:r w:rsidRPr="005149E9">
        <w:rPr>
          <w:i/>
          <w:sz w:val="14"/>
          <w:szCs w:val="14"/>
        </w:rPr>
        <w:t>Verdeling</w:t>
      </w:r>
      <w:r w:rsidRPr="005149E9">
        <w:rPr>
          <w:sz w:val="14"/>
          <w:szCs w:val="14"/>
        </w:rPr>
        <w:t xml:space="preserve">: vanzelf naar huisarts, door screeningen, via school en  </w:t>
      </w:r>
      <w:proofErr w:type="spellStart"/>
      <w:r w:rsidRPr="005149E9">
        <w:rPr>
          <w:sz w:val="14"/>
          <w:szCs w:val="14"/>
        </w:rPr>
        <w:t>overigen</w:t>
      </w:r>
      <w:proofErr w:type="spellEnd"/>
      <w:r w:rsidRPr="005149E9">
        <w:rPr>
          <w:sz w:val="14"/>
          <w:szCs w:val="14"/>
        </w:rPr>
        <w:t xml:space="preserve">. </w:t>
      </w:r>
    </w:p>
    <w:p w:rsidR="008A0428" w:rsidRPr="005149E9" w:rsidRDefault="008A0428" w:rsidP="008A0428">
      <w:pPr>
        <w:rPr>
          <w:sz w:val="14"/>
          <w:szCs w:val="14"/>
        </w:rPr>
      </w:pPr>
      <w:r w:rsidRPr="005149E9">
        <w:rPr>
          <w:sz w:val="14"/>
          <w:szCs w:val="14"/>
        </w:rPr>
        <w:t>In de kolom ‘</w:t>
      </w:r>
      <w:r w:rsidRPr="005149E9">
        <w:rPr>
          <w:i/>
          <w:sz w:val="14"/>
          <w:szCs w:val="14"/>
        </w:rPr>
        <w:t>onduidelijk</w:t>
      </w:r>
      <w:r w:rsidRPr="005149E9">
        <w:rPr>
          <w:sz w:val="14"/>
          <w:szCs w:val="14"/>
        </w:rPr>
        <w:t>’ zijn de verwijzingsredenen aangege</w:t>
      </w:r>
      <w:r w:rsidRPr="005149E9">
        <w:rPr>
          <w:sz w:val="14"/>
          <w:szCs w:val="14"/>
        </w:rPr>
        <w:softHyphen/>
        <w:t xml:space="preserve">ven bij leerlingen die </w:t>
      </w:r>
      <w:r w:rsidRPr="005149E9">
        <w:rPr>
          <w:i/>
          <w:iCs/>
          <w:sz w:val="14"/>
          <w:szCs w:val="14"/>
        </w:rPr>
        <w:t>mogelijk</w:t>
      </w:r>
      <w:r w:rsidRPr="005149E9">
        <w:rPr>
          <w:sz w:val="14"/>
          <w:szCs w:val="14"/>
        </w:rPr>
        <w:t xml:space="preserve"> met recht individueel zijn benaderd: 8 van de 290 verwijzingen (2,8%). </w:t>
      </w:r>
    </w:p>
    <w:p w:rsidR="008A0428" w:rsidRDefault="008A0428" w:rsidP="008A0428">
      <w:pPr>
        <w:rPr>
          <w:b/>
          <w:bCs/>
          <w:sz w:val="20"/>
        </w:rPr>
      </w:pPr>
    </w:p>
    <w:p w:rsidR="008A0428" w:rsidRPr="005149E9" w:rsidRDefault="008A0428" w:rsidP="008A0428">
      <w:pPr>
        <w:rPr>
          <w:b/>
          <w:bCs/>
          <w:szCs w:val="18"/>
        </w:rPr>
      </w:pPr>
      <w:r w:rsidRPr="005149E9">
        <w:rPr>
          <w:b/>
          <w:bCs/>
          <w:szCs w:val="18"/>
        </w:rPr>
        <w:t>Conclusie</w:t>
      </w:r>
    </w:p>
    <w:p w:rsidR="008A0428" w:rsidRPr="005149E9" w:rsidRDefault="008A0428" w:rsidP="008A0428">
      <w:pPr>
        <w:rPr>
          <w:szCs w:val="18"/>
        </w:rPr>
      </w:pPr>
      <w:r w:rsidRPr="005149E9">
        <w:rPr>
          <w:szCs w:val="18"/>
        </w:rPr>
        <w:t>Circa 1,4% van de met PGO’s en hercontroles onderzochte populatie (127 van de 8.945) heeft mogelijk een afwijking die in aanmerking kan komen voor extra aandacht van en/of gerichte interventie door de huisarts en die in het extreme geval enkel en alleen met behulp van PGO’s en PVO’s en bijbehorende hercontroles tijdig konden worden ontdekt.</w:t>
      </w:r>
    </w:p>
    <w:p w:rsidR="008A0428" w:rsidRDefault="008A0428" w:rsidP="008A0428">
      <w:pPr>
        <w:rPr>
          <w:szCs w:val="18"/>
        </w:rPr>
      </w:pPr>
      <w:r w:rsidRPr="005149E9">
        <w:rPr>
          <w:szCs w:val="18"/>
        </w:rPr>
        <w:t xml:space="preserve">Wanneer gekeken wordt naar de totale populatie die op enigerlei wijze in aanraking is gekomen met medewerkers van de JGZ (totale aantal 13.196 leerlingen), dan blijkt iets meer dan 0,1% </w:t>
      </w:r>
      <w:r>
        <w:rPr>
          <w:szCs w:val="18"/>
        </w:rPr>
        <w:t>verwezen te zijn op deze basis.</w:t>
      </w:r>
    </w:p>
    <w:p w:rsidR="008A0428" w:rsidRPr="00A85FE7" w:rsidRDefault="008A0428" w:rsidP="008A0428">
      <w:pPr>
        <w:rPr>
          <w:i/>
          <w:noProof/>
          <w:szCs w:val="18"/>
        </w:rPr>
      </w:pPr>
      <w:r w:rsidRPr="00A85FE7">
        <w:rPr>
          <w:i/>
          <w:noProof/>
          <w:szCs w:val="18"/>
        </w:rPr>
        <w:t>Als alleen rekening wordt gehouden met gevallen die mogelijk met recht individueel zijn benaderd gaat het om 8 van de 290 verwijzingen (2,8%). Van alle onder</w:t>
      </w:r>
      <w:r w:rsidRPr="00A85FE7">
        <w:rPr>
          <w:i/>
          <w:noProof/>
          <w:szCs w:val="18"/>
        </w:rPr>
        <w:softHyphen/>
        <w:t>zochte kinderen (13.196 in totaal, waarvan 8.945 middels PGO, of screening) is dit dus resp. 0,6‰ (8:13</w:t>
      </w:r>
      <w:r>
        <w:rPr>
          <w:i/>
          <w:noProof/>
          <w:szCs w:val="18"/>
        </w:rPr>
        <w:t>.</w:t>
      </w:r>
      <w:r w:rsidRPr="00A85FE7">
        <w:rPr>
          <w:i/>
          <w:noProof/>
          <w:szCs w:val="18"/>
        </w:rPr>
        <w:t>196 = 6:10.000) en 0,9‰ (8:8.945 = 9:10.000).</w:t>
      </w:r>
    </w:p>
    <w:p w:rsidR="0001060F" w:rsidRDefault="0001060F"/>
    <w:sectPr w:rsidR="000106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C4" w:rsidRDefault="006A58C4" w:rsidP="008A0428">
      <w:pPr>
        <w:spacing w:line="240" w:lineRule="auto"/>
      </w:pPr>
      <w:r>
        <w:separator/>
      </w:r>
    </w:p>
  </w:endnote>
  <w:endnote w:type="continuationSeparator" w:id="0">
    <w:p w:rsidR="006A58C4" w:rsidRDefault="006A58C4" w:rsidP="008A0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C4" w:rsidRDefault="006A58C4" w:rsidP="008A0428">
      <w:pPr>
        <w:spacing w:line="240" w:lineRule="auto"/>
      </w:pPr>
      <w:r>
        <w:separator/>
      </w:r>
    </w:p>
  </w:footnote>
  <w:footnote w:type="continuationSeparator" w:id="0">
    <w:p w:rsidR="006A58C4" w:rsidRDefault="006A58C4" w:rsidP="008A0428">
      <w:pPr>
        <w:spacing w:line="240" w:lineRule="auto"/>
      </w:pPr>
      <w:r>
        <w:continuationSeparator/>
      </w:r>
    </w:p>
  </w:footnote>
  <w:footnote w:id="1">
    <w:p w:rsidR="008A0428" w:rsidRPr="00FB48FB" w:rsidRDefault="008A0428" w:rsidP="008A0428">
      <w:pPr>
        <w:tabs>
          <w:tab w:val="left" w:pos="284"/>
        </w:tabs>
        <w:spacing w:line="240" w:lineRule="auto"/>
        <w:ind w:left="284" w:hanging="284"/>
        <w:rPr>
          <w:sz w:val="14"/>
          <w:szCs w:val="14"/>
        </w:rPr>
      </w:pPr>
      <w:r>
        <w:rPr>
          <w:rStyle w:val="Voetnootmarkering"/>
          <w:sz w:val="20"/>
          <w:szCs w:val="20"/>
        </w:rPr>
        <w:footnoteRef/>
      </w:r>
      <w:r w:rsidRPr="00FB48FB">
        <w:rPr>
          <w:sz w:val="14"/>
          <w:szCs w:val="14"/>
        </w:rPr>
        <w:tab/>
        <w:t xml:space="preserve">Hierbij valt te denken aan afwijkingen van ogen en oren, lengte en gewicht, spraak en taalontwikkeling bij alle leerlingen en rug en houding bij leerlingen van het </w:t>
      </w:r>
      <w:r>
        <w:rPr>
          <w:sz w:val="14"/>
          <w:szCs w:val="14"/>
        </w:rPr>
        <w:t>Voortgezet Onderwijs</w:t>
      </w:r>
      <w:r w:rsidRPr="00FB48FB">
        <w:rPr>
          <w:sz w:val="14"/>
          <w:szCs w:val="14"/>
        </w:rPr>
        <w:t>. Verder afwijkingen die al geruime tijd bestaan (zoals CARA) en afwijkingen die niet meer kunnen worden gevonden daar het betreffende onderzoek (zoals in het geval van controle van de urine en bloeddrukmeting) op basis van landelijke richtlijnen is afgeschaft.</w:t>
      </w:r>
    </w:p>
  </w:footnote>
  <w:footnote w:id="2">
    <w:p w:rsidR="008A0428" w:rsidRPr="008A0428" w:rsidRDefault="008A0428" w:rsidP="008A0428">
      <w:pPr>
        <w:tabs>
          <w:tab w:val="left" w:pos="284"/>
        </w:tabs>
        <w:spacing w:line="240" w:lineRule="auto"/>
        <w:ind w:left="284" w:hanging="284"/>
        <w:rPr>
          <w:sz w:val="14"/>
          <w:szCs w:val="14"/>
        </w:rPr>
      </w:pPr>
      <w:r w:rsidRPr="004D481A">
        <w:rPr>
          <w:rStyle w:val="Voetnootmarkering"/>
          <w:sz w:val="20"/>
          <w:szCs w:val="20"/>
        </w:rPr>
        <w:footnoteRef/>
      </w:r>
      <w:r w:rsidRPr="004D481A">
        <w:rPr>
          <w:rStyle w:val="Voetnootmarkering"/>
          <w:sz w:val="20"/>
          <w:szCs w:val="20"/>
        </w:rPr>
        <w:tab/>
      </w:r>
      <w:r w:rsidRPr="008A0428">
        <w:rPr>
          <w:sz w:val="14"/>
          <w:szCs w:val="14"/>
        </w:rPr>
        <w:t xml:space="preserve">Claessens </w:t>
      </w:r>
      <w:proofErr w:type="spellStart"/>
      <w:r w:rsidRPr="008A0428">
        <w:rPr>
          <w:sz w:val="14"/>
          <w:szCs w:val="14"/>
        </w:rPr>
        <w:t>MJ</w:t>
      </w:r>
      <w:proofErr w:type="spellEnd"/>
      <w:r w:rsidRPr="008A0428">
        <w:rPr>
          <w:sz w:val="14"/>
          <w:szCs w:val="14"/>
        </w:rPr>
        <w:t xml:space="preserve">, Schouten EG, Jager </w:t>
      </w:r>
      <w:proofErr w:type="spellStart"/>
      <w:r w:rsidRPr="008A0428">
        <w:rPr>
          <w:sz w:val="14"/>
          <w:szCs w:val="14"/>
        </w:rPr>
        <w:t>FP</w:t>
      </w:r>
      <w:proofErr w:type="spellEnd"/>
      <w:r w:rsidRPr="008A0428">
        <w:rPr>
          <w:sz w:val="14"/>
          <w:szCs w:val="14"/>
        </w:rPr>
        <w:t xml:space="preserve">. Selectie van ‘zorgenkinderen’ door jeugdarts of leerkracht? Een vergelijking van twee methoden om te bepalen welke kinderen individuele zorg nodig hebben. </w:t>
      </w:r>
      <w:proofErr w:type="spellStart"/>
      <w:r w:rsidRPr="008A0428">
        <w:rPr>
          <w:sz w:val="14"/>
          <w:szCs w:val="14"/>
        </w:rPr>
        <w:t>Tijdschr</w:t>
      </w:r>
      <w:proofErr w:type="spellEnd"/>
      <w:r w:rsidRPr="008A0428">
        <w:rPr>
          <w:sz w:val="14"/>
          <w:szCs w:val="14"/>
        </w:rPr>
        <w:t xml:space="preserve"> </w:t>
      </w:r>
      <w:proofErr w:type="spellStart"/>
      <w:r w:rsidRPr="008A0428">
        <w:rPr>
          <w:sz w:val="14"/>
          <w:szCs w:val="14"/>
        </w:rPr>
        <w:t>Soc</w:t>
      </w:r>
      <w:proofErr w:type="spellEnd"/>
      <w:r w:rsidRPr="008A0428">
        <w:rPr>
          <w:sz w:val="14"/>
          <w:szCs w:val="14"/>
        </w:rPr>
        <w:t xml:space="preserve"> </w:t>
      </w:r>
      <w:proofErr w:type="spellStart"/>
      <w:r w:rsidRPr="008A0428">
        <w:rPr>
          <w:sz w:val="14"/>
          <w:szCs w:val="14"/>
        </w:rPr>
        <w:t>Gezondheidsz</w:t>
      </w:r>
      <w:proofErr w:type="spellEnd"/>
      <w:r w:rsidRPr="008A0428">
        <w:rPr>
          <w:sz w:val="14"/>
          <w:szCs w:val="14"/>
        </w:rPr>
        <w:t xml:space="preserve"> 1996; 74:26-31.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28"/>
    <w:rsid w:val="0001060F"/>
    <w:rsid w:val="00454152"/>
    <w:rsid w:val="00592975"/>
    <w:rsid w:val="0062754F"/>
    <w:rsid w:val="0067058A"/>
    <w:rsid w:val="006A58C4"/>
    <w:rsid w:val="008A0428"/>
    <w:rsid w:val="008B1FC0"/>
    <w:rsid w:val="00B86A92"/>
    <w:rsid w:val="00F36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381F-3CD8-4BC3-83EE-E3321459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428"/>
    <w:pPr>
      <w:spacing w:after="0" w:line="36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unhideWhenUsed/>
    <w:rsid w:val="008A0428"/>
    <w:rPr>
      <w:vertAlign w:val="superscript"/>
    </w:rPr>
  </w:style>
  <w:style w:type="table" w:styleId="Tabelraster">
    <w:name w:val="Table Grid"/>
    <w:basedOn w:val="Standaardtabel"/>
    <w:uiPriority w:val="39"/>
    <w:rsid w:val="008A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31">
    <w:name w:val="Onopgemaakte tabel 31"/>
    <w:basedOn w:val="Standaardtabel"/>
    <w:uiPriority w:val="43"/>
    <w:rsid w:val="008A04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1404</Words>
  <Characters>7727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Wiegersma</dc:creator>
  <cp:keywords/>
  <dc:description/>
  <cp:lastModifiedBy>P.A. Wiegersma</cp:lastModifiedBy>
  <cp:revision>2</cp:revision>
  <dcterms:created xsi:type="dcterms:W3CDTF">2019-03-15T14:10:00Z</dcterms:created>
  <dcterms:modified xsi:type="dcterms:W3CDTF">2019-03-17T13:15:00Z</dcterms:modified>
</cp:coreProperties>
</file>